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4C" w:rsidRDefault="003E214C" w:rsidP="003E214C">
      <w:pPr>
        <w:overflowPunct w:val="0"/>
        <w:autoSpaceDE w:val="0"/>
        <w:autoSpaceDN w:val="0"/>
        <w:adjustRightInd w:val="0"/>
        <w:jc w:val="both"/>
        <w:rPr>
          <w:rFonts w:ascii="Times New Roman" w:eastAsia="Calibri" w:hAnsi="Times New Roman" w:cs="Times New Roman"/>
          <w:bCs/>
          <w:sz w:val="24"/>
          <w:szCs w:val="24"/>
        </w:rPr>
      </w:pPr>
      <w:bookmarkStart w:id="0" w:name="_GoBack"/>
      <w:bookmarkEnd w:id="0"/>
      <w:r>
        <w:rPr>
          <w:rFonts w:ascii="Times New Roman" w:eastAsia="Calibri" w:hAnsi="Times New Roman" w:cs="Times New Roman"/>
          <w:sz w:val="24"/>
          <w:szCs w:val="24"/>
        </w:rPr>
        <w:t>Kuzey Kıbrıs Türk Cumhuriyeti Cumhuriyet Meclisi’nin 31 Ekim 2022 tarihli Dokuzuncu  Birleşiminde Oyçokluğuyla kabul olunan “</w:t>
      </w:r>
      <w:r w:rsidRPr="003E214C">
        <w:rPr>
          <w:rFonts w:ascii="Times New Roman" w:eastAsia="Calibri" w:hAnsi="Times New Roman" w:cs="Times New Roman"/>
          <w:sz w:val="24"/>
          <w:szCs w:val="24"/>
        </w:rPr>
        <w:t>Kamu Mali Yönetimi ve Kontrol (Değişiklik) Yasası</w:t>
      </w:r>
      <w:r w:rsidR="005E0A92">
        <w:rPr>
          <w:rFonts w:ascii="Times New Roman" w:eastAsia="Calibri" w:hAnsi="Times New Roman" w:cs="Times New Roman"/>
          <w:sz w:val="24"/>
          <w:szCs w:val="24"/>
        </w:rPr>
        <w:t xml:space="preserve">” </w:t>
      </w:r>
      <w:r>
        <w:rPr>
          <w:rFonts w:ascii="Times New Roman" w:eastAsia="Calibri" w:hAnsi="Times New Roman" w:cs="Times New Roman"/>
          <w:sz w:val="24"/>
          <w:szCs w:val="24"/>
        </w:rPr>
        <w:t>Anayasanın 94'üncü maddesinin (1)'inci fıkrası gereğince Kuzey Kıbrıs Türk Cumhuriyeti Cumhurbaşkanı tarafından Resmi Gazete'de yayımlanmak suretiyle ilan olunur.</w:t>
      </w:r>
      <w:r>
        <w:rPr>
          <w:rFonts w:ascii="Times New Roman" w:eastAsia="Calibri" w:hAnsi="Times New Roman" w:cs="Times New Roman"/>
          <w:bCs/>
          <w:sz w:val="24"/>
          <w:szCs w:val="24"/>
        </w:rPr>
        <w:tab/>
      </w:r>
    </w:p>
    <w:p w:rsidR="003E214C" w:rsidRDefault="003E214C" w:rsidP="003E214C">
      <w:pPr>
        <w:overflowPunct w:val="0"/>
        <w:autoSpaceDE w:val="0"/>
        <w:autoSpaceDN w:val="0"/>
        <w:adjustRightInd w:val="0"/>
        <w:jc w:val="both"/>
        <w:rPr>
          <w:rFonts w:ascii="Times New Roman" w:eastAsia="Calibri" w:hAnsi="Times New Roman" w:cs="Times New Roman"/>
          <w:bCs/>
          <w:sz w:val="24"/>
          <w:szCs w:val="24"/>
        </w:rPr>
      </w:pPr>
    </w:p>
    <w:p w:rsidR="003E214C" w:rsidRDefault="003E214C" w:rsidP="003E214C">
      <w:pPr>
        <w:overflowPunct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Sayı: 27/2022</w:t>
      </w:r>
    </w:p>
    <w:p w:rsidR="00813F53" w:rsidRDefault="00813F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26"/>
        <w:gridCol w:w="141"/>
        <w:gridCol w:w="142"/>
        <w:gridCol w:w="245"/>
        <w:gridCol w:w="464"/>
        <w:gridCol w:w="457"/>
        <w:gridCol w:w="110"/>
        <w:gridCol w:w="709"/>
        <w:gridCol w:w="103"/>
        <w:gridCol w:w="38"/>
        <w:gridCol w:w="883"/>
        <w:gridCol w:w="921"/>
        <w:gridCol w:w="921"/>
        <w:gridCol w:w="922"/>
        <w:gridCol w:w="922"/>
      </w:tblGrid>
      <w:tr w:rsidR="003E214C" w:rsidRPr="003E214C" w:rsidTr="005C7568">
        <w:tc>
          <w:tcPr>
            <w:tcW w:w="9213" w:type="dxa"/>
            <w:gridSpan w:val="16"/>
          </w:tcPr>
          <w:p w:rsidR="003E214C" w:rsidRPr="003E214C" w:rsidRDefault="003E214C" w:rsidP="003E214C">
            <w:pPr>
              <w:jc w:val="center"/>
              <w:rPr>
                <w:rFonts w:ascii="Times New Roman" w:hAnsi="Times New Roman" w:cs="Times New Roman"/>
                <w:b/>
                <w:sz w:val="24"/>
                <w:szCs w:val="24"/>
              </w:rPr>
            </w:pPr>
          </w:p>
          <w:p w:rsidR="003E214C" w:rsidRPr="003E214C" w:rsidRDefault="003E214C" w:rsidP="003E214C">
            <w:pPr>
              <w:jc w:val="center"/>
              <w:rPr>
                <w:rFonts w:ascii="Times New Roman" w:hAnsi="Times New Roman" w:cs="Times New Roman"/>
                <w:sz w:val="24"/>
                <w:szCs w:val="24"/>
              </w:rPr>
            </w:pPr>
            <w:r w:rsidRPr="003E214C">
              <w:rPr>
                <w:rFonts w:ascii="Times New Roman" w:hAnsi="Times New Roman" w:cs="Times New Roman"/>
                <w:sz w:val="24"/>
                <w:szCs w:val="24"/>
              </w:rPr>
              <w:t xml:space="preserve">KAMU MALİ YÖNETİMİ VE KONTROL (DEĞİŞİKLİK) YASASI </w:t>
            </w:r>
          </w:p>
        </w:tc>
      </w:tr>
      <w:tr w:rsidR="003E214C" w:rsidRPr="003E214C" w:rsidTr="005C7568">
        <w:tc>
          <w:tcPr>
            <w:tcW w:w="8291" w:type="dxa"/>
            <w:gridSpan w:val="15"/>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 xml:space="preserve">                  </w:t>
            </w:r>
          </w:p>
        </w:tc>
        <w:tc>
          <w:tcPr>
            <w:tcW w:w="7404" w:type="dxa"/>
            <w:gridSpan w:val="15"/>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 xml:space="preserve">           </w:t>
            </w:r>
            <w:r w:rsidRPr="003E214C">
              <w:rPr>
                <w:rFonts w:ascii="Times New Roman" w:eastAsia="Times New Roman" w:hAnsi="Times New Roman" w:cs="Times New Roman"/>
                <w:sz w:val="24"/>
                <w:szCs w:val="24"/>
                <w:lang w:eastAsia="tr-TR"/>
              </w:rPr>
              <w:t>Kuzey Kıbrıs Türk Cumhuriyeti Cumhuriyet Meclisi aşağıdaki Yasayı yapar:</w:t>
            </w:r>
          </w:p>
        </w:tc>
      </w:tr>
      <w:tr w:rsidR="003E214C" w:rsidRPr="003E214C" w:rsidTr="005C7568">
        <w:tc>
          <w:tcPr>
            <w:tcW w:w="1809" w:type="dxa"/>
          </w:tcPr>
          <w:p w:rsidR="003E214C" w:rsidRPr="003E214C" w:rsidRDefault="003E214C" w:rsidP="003E214C">
            <w:pPr>
              <w:rPr>
                <w:rFonts w:ascii="Times New Roman" w:eastAsia="Times New Roman" w:hAnsi="Times New Roman" w:cs="Times New Roman"/>
                <w:sz w:val="24"/>
                <w:szCs w:val="24"/>
                <w:lang w:eastAsia="tr-TR"/>
              </w:rPr>
            </w:pPr>
          </w:p>
        </w:tc>
        <w:tc>
          <w:tcPr>
            <w:tcW w:w="7404" w:type="dxa"/>
            <w:gridSpan w:val="15"/>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Kısa İsim</w:t>
            </w:r>
          </w:p>
          <w:p w:rsidR="003E214C" w:rsidRPr="003E214C" w:rsidRDefault="003E214C" w:rsidP="003E214C">
            <w:pPr>
              <w:rPr>
                <w:rFonts w:ascii="Times New Roman" w:eastAsia="Calibri" w:hAnsi="Times New Roman" w:cs="Times New Roman"/>
                <w:sz w:val="24"/>
                <w:szCs w:val="24"/>
              </w:rPr>
            </w:pPr>
            <w:r w:rsidRPr="003E214C">
              <w:rPr>
                <w:rFonts w:ascii="Times New Roman" w:eastAsia="Calibri" w:hAnsi="Times New Roman" w:cs="Times New Roman"/>
                <w:sz w:val="24"/>
                <w:szCs w:val="24"/>
              </w:rPr>
              <w:t xml:space="preserve"> 41/2019</w:t>
            </w:r>
          </w:p>
          <w:p w:rsidR="003E214C" w:rsidRPr="003E214C" w:rsidRDefault="003E214C" w:rsidP="003E214C">
            <w:pPr>
              <w:rPr>
                <w:rFonts w:ascii="Times New Roman" w:hAnsi="Times New Roman" w:cs="Times New Roman"/>
                <w:sz w:val="24"/>
                <w:szCs w:val="24"/>
              </w:rPr>
            </w:pPr>
          </w:p>
        </w:tc>
        <w:tc>
          <w:tcPr>
            <w:tcW w:w="7404" w:type="dxa"/>
            <w:gridSpan w:val="15"/>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 xml:space="preserve">1. </w:t>
            </w:r>
            <w:r w:rsidRPr="003E214C">
              <w:rPr>
                <w:rFonts w:ascii="Times New Roman" w:eastAsia="Times New Roman" w:hAnsi="Times New Roman" w:cs="Times New Roman"/>
                <w:sz w:val="24"/>
                <w:szCs w:val="24"/>
                <w:lang w:eastAsia="tr-TR"/>
              </w:rPr>
              <w:t xml:space="preserve">Bu Yasa,  Kamu Mali Yönetimi ve Kontrol (Değişiklik) Yasası olarak isimlendirilir ve aşağıda “Esas Yasa” olarak anılan Kamu Mali Yönetimi ve Kontrol Yasası ile birlikte okunur. </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567" w:type="dxa"/>
            <w:gridSpan w:val="2"/>
          </w:tcPr>
          <w:p w:rsidR="003E214C" w:rsidRPr="003E214C" w:rsidRDefault="003E214C" w:rsidP="003E214C">
            <w:pPr>
              <w:rPr>
                <w:rFonts w:ascii="Times New Roman" w:hAnsi="Times New Roman" w:cs="Times New Roman"/>
                <w:sz w:val="24"/>
                <w:szCs w:val="24"/>
              </w:rPr>
            </w:pPr>
          </w:p>
        </w:tc>
        <w:tc>
          <w:tcPr>
            <w:tcW w:w="387" w:type="dxa"/>
            <w:gridSpan w:val="2"/>
          </w:tcPr>
          <w:p w:rsidR="003E214C" w:rsidRPr="003E214C" w:rsidRDefault="003E214C" w:rsidP="003E214C">
            <w:pPr>
              <w:rPr>
                <w:rFonts w:ascii="Times New Roman" w:hAnsi="Times New Roman" w:cs="Times New Roman"/>
                <w:sz w:val="24"/>
                <w:szCs w:val="24"/>
              </w:rPr>
            </w:pPr>
          </w:p>
        </w:tc>
        <w:tc>
          <w:tcPr>
            <w:tcW w:w="921" w:type="dxa"/>
            <w:gridSpan w:val="2"/>
          </w:tcPr>
          <w:p w:rsidR="003E214C" w:rsidRPr="003E214C" w:rsidRDefault="003E214C" w:rsidP="003E214C">
            <w:pPr>
              <w:rPr>
                <w:rFonts w:ascii="Times New Roman" w:hAnsi="Times New Roman" w:cs="Times New Roman"/>
                <w:sz w:val="24"/>
                <w:szCs w:val="24"/>
              </w:rPr>
            </w:pPr>
          </w:p>
        </w:tc>
        <w:tc>
          <w:tcPr>
            <w:tcW w:w="922" w:type="dxa"/>
            <w:gridSpan w:val="3"/>
          </w:tcPr>
          <w:p w:rsidR="003E214C" w:rsidRPr="003E214C" w:rsidRDefault="003E214C" w:rsidP="003E214C">
            <w:pPr>
              <w:rPr>
                <w:rFonts w:ascii="Times New Roman" w:hAnsi="Times New Roman" w:cs="Times New Roman"/>
                <w:sz w:val="24"/>
                <w:szCs w:val="24"/>
              </w:rPr>
            </w:pPr>
          </w:p>
        </w:tc>
        <w:tc>
          <w:tcPr>
            <w:tcW w:w="921" w:type="dxa"/>
            <w:gridSpan w:val="2"/>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Esas Yasanın 10’uncu</w:t>
            </w:r>
          </w:p>
          <w:p w:rsidR="003E214C" w:rsidRPr="003E214C" w:rsidRDefault="003E214C" w:rsidP="003E214C">
            <w:pPr>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Maddesinin</w:t>
            </w:r>
          </w:p>
        </w:tc>
        <w:tc>
          <w:tcPr>
            <w:tcW w:w="7404" w:type="dxa"/>
            <w:gridSpan w:val="15"/>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 xml:space="preserve">2. </w:t>
            </w:r>
            <w:r w:rsidRPr="003E214C">
              <w:rPr>
                <w:rFonts w:ascii="Times New Roman" w:eastAsia="Times New Roman" w:hAnsi="Times New Roman" w:cs="Times New Roman"/>
                <w:sz w:val="24"/>
                <w:szCs w:val="24"/>
                <w:lang w:eastAsia="tr-TR"/>
              </w:rPr>
              <w:t>Esas Yasa, 10’uncu maddesinin (2)’nci fıkrası kaldırılmak ve yerine aşağıdaki yeni (2)’nci fıkra konmak suretiyle değiştirilir: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eastAsia="Times New Roman" w:hAnsi="Times New Roman" w:cs="Times New Roman"/>
                <w:sz w:val="24"/>
                <w:szCs w:val="24"/>
                <w:lang w:eastAsia="tr-TR"/>
              </w:rPr>
              <w:t>Değiştirilmesi</w:t>
            </w:r>
          </w:p>
        </w:tc>
        <w:tc>
          <w:tcPr>
            <w:tcW w:w="426" w:type="dxa"/>
          </w:tcPr>
          <w:p w:rsidR="003E214C" w:rsidRPr="003E214C" w:rsidRDefault="003E214C" w:rsidP="003E214C">
            <w:pPr>
              <w:rPr>
                <w:rFonts w:ascii="Times New Roman" w:hAnsi="Times New Roman" w:cs="Times New Roman"/>
                <w:sz w:val="24"/>
                <w:szCs w:val="24"/>
              </w:rPr>
            </w:pPr>
          </w:p>
        </w:tc>
        <w:tc>
          <w:tcPr>
            <w:tcW w:w="283" w:type="dxa"/>
            <w:gridSpan w:val="2"/>
          </w:tcPr>
          <w:p w:rsidR="003E214C" w:rsidRPr="003E214C" w:rsidRDefault="003E214C" w:rsidP="003E214C">
            <w:pPr>
              <w:rPr>
                <w:rFonts w:ascii="Times New Roman" w:hAnsi="Times New Roman" w:cs="Times New Roman"/>
                <w:sz w:val="24"/>
                <w:szCs w:val="24"/>
              </w:rPr>
            </w:pPr>
          </w:p>
        </w:tc>
        <w:tc>
          <w:tcPr>
            <w:tcW w:w="709" w:type="dxa"/>
            <w:gridSpan w:val="2"/>
          </w:tcPr>
          <w:p w:rsidR="003E214C" w:rsidRPr="003E214C" w:rsidRDefault="003E214C" w:rsidP="003E214C">
            <w:pPr>
              <w:rPr>
                <w:rFonts w:ascii="Times New Roman" w:hAnsi="Times New Roman" w:cs="Times New Roman"/>
                <w:sz w:val="24"/>
                <w:szCs w:val="24"/>
              </w:rPr>
            </w:pPr>
            <w:r w:rsidRPr="003E214C">
              <w:rPr>
                <w:rFonts w:ascii="Times New Roman" w:eastAsia="Times New Roman" w:hAnsi="Times New Roman" w:cs="Times New Roman"/>
                <w:sz w:val="24"/>
                <w:szCs w:val="24"/>
                <w:lang w:eastAsia="tr-TR"/>
              </w:rPr>
              <w:t>“(2)</w:t>
            </w:r>
          </w:p>
        </w:tc>
        <w:tc>
          <w:tcPr>
            <w:tcW w:w="5986" w:type="dxa"/>
            <w:gridSpan w:val="10"/>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Bu Yasaya Ek’li I. Cetvel’de yer alan genel bütçe kapsamındaki kamu idareleri özel hesap açamaz, tüm gelirleri Bakanlığın Kuzey Kıbrıs Türk Cumhuriyeti Merkez Bankası nezdindeki hazine tek hesabında toplanır. Giderleri ise bütçe ödenekleri çerçevesinde aynı hesaptan ödenir.</w:t>
            </w:r>
          </w:p>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 xml:space="preserve">       Ancak Güvenlik Kuvvetleri Komutanlığı ve Sivil Savunma Teşkilatı Başkanlığınca, kendi özel yasa ve tüzükleri gereği, kurularak işletilen ve/veya elde edilen, kantin, sosyal tesis, konut kira gelirleri ve benzeri, bütçe dışı kaynaklar için bu madde kuralları uygulanmaz, bunlar hakkında kendi özel yasa veya tüzük kuralları uygulanır.”</w:t>
            </w:r>
          </w:p>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Esas Yasanın 23’üncü</w:t>
            </w:r>
          </w:p>
          <w:p w:rsidR="003E214C" w:rsidRPr="003E214C" w:rsidRDefault="003E214C" w:rsidP="003E214C">
            <w:pPr>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Maddesinin</w:t>
            </w:r>
          </w:p>
          <w:p w:rsidR="003E214C" w:rsidRPr="003E214C" w:rsidRDefault="003E214C" w:rsidP="003E214C">
            <w:pPr>
              <w:rPr>
                <w:rFonts w:ascii="Times New Roman" w:hAnsi="Times New Roman" w:cs="Times New Roman"/>
                <w:sz w:val="24"/>
                <w:szCs w:val="24"/>
              </w:rPr>
            </w:pPr>
            <w:r w:rsidRPr="003E214C">
              <w:rPr>
                <w:rFonts w:ascii="Times New Roman" w:eastAsia="Times New Roman" w:hAnsi="Times New Roman" w:cs="Times New Roman"/>
                <w:sz w:val="24"/>
                <w:szCs w:val="24"/>
                <w:lang w:eastAsia="tr-TR"/>
              </w:rPr>
              <w:t>Değiştirilmesi</w:t>
            </w:r>
          </w:p>
        </w:tc>
        <w:tc>
          <w:tcPr>
            <w:tcW w:w="7404" w:type="dxa"/>
            <w:gridSpan w:val="15"/>
          </w:tcPr>
          <w:p w:rsidR="003E214C" w:rsidRPr="003E214C" w:rsidRDefault="003E214C" w:rsidP="003E214C">
            <w:pPr>
              <w:ind w:right="-75"/>
              <w:jc w:val="both"/>
              <w:rPr>
                <w:rFonts w:ascii="Times New Roman" w:hAnsi="Times New Roman" w:cs="Times New Roman"/>
                <w:sz w:val="24"/>
                <w:szCs w:val="24"/>
              </w:rPr>
            </w:pPr>
            <w:r w:rsidRPr="003E214C">
              <w:rPr>
                <w:rFonts w:ascii="Times New Roman" w:hAnsi="Times New Roman" w:cs="Times New Roman"/>
                <w:sz w:val="24"/>
                <w:szCs w:val="24"/>
              </w:rPr>
              <w:t>3. Esas Yasa, 23’üncü maddesinin (8)’inci fıkrasına bağlı “VI. CETVEL” kaldırılmak ve yerine bu maddeye Ek’li yeni “VI. CETVEL” konmak suretiyle değiştirilir.</w:t>
            </w:r>
          </w:p>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528" w:type="dxa"/>
            <w:gridSpan w:val="3"/>
          </w:tcPr>
          <w:p w:rsidR="003E214C" w:rsidRPr="003E214C" w:rsidRDefault="003E214C" w:rsidP="003E214C">
            <w:pPr>
              <w:rPr>
                <w:rFonts w:ascii="Times New Roman" w:hAnsi="Times New Roman" w:cs="Times New Roman"/>
                <w:sz w:val="24"/>
                <w:szCs w:val="24"/>
              </w:rPr>
            </w:pPr>
          </w:p>
        </w:tc>
        <w:tc>
          <w:tcPr>
            <w:tcW w:w="921" w:type="dxa"/>
            <w:gridSpan w:val="2"/>
          </w:tcPr>
          <w:p w:rsidR="003E214C" w:rsidRPr="003E214C" w:rsidRDefault="003E214C" w:rsidP="003E214C">
            <w:pPr>
              <w:rPr>
                <w:rFonts w:ascii="Times New Roman" w:hAnsi="Times New Roman" w:cs="Times New Roman"/>
                <w:sz w:val="24"/>
                <w:szCs w:val="24"/>
              </w:rPr>
            </w:pPr>
          </w:p>
        </w:tc>
        <w:tc>
          <w:tcPr>
            <w:tcW w:w="922" w:type="dxa"/>
            <w:gridSpan w:val="3"/>
          </w:tcPr>
          <w:p w:rsidR="003E214C" w:rsidRPr="003E214C" w:rsidRDefault="003E214C" w:rsidP="003E214C">
            <w:pPr>
              <w:rPr>
                <w:rFonts w:ascii="Times New Roman" w:hAnsi="Times New Roman" w:cs="Times New Roman"/>
                <w:sz w:val="24"/>
                <w:szCs w:val="24"/>
              </w:rPr>
            </w:pPr>
          </w:p>
        </w:tc>
        <w:tc>
          <w:tcPr>
            <w:tcW w:w="921" w:type="dxa"/>
            <w:gridSpan w:val="2"/>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Esas Yasanın Geçici 7’nci Maddesinin</w:t>
            </w:r>
          </w:p>
        </w:tc>
        <w:tc>
          <w:tcPr>
            <w:tcW w:w="7404" w:type="dxa"/>
            <w:gridSpan w:val="15"/>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 xml:space="preserve">4. </w:t>
            </w:r>
            <w:r w:rsidRPr="003E214C">
              <w:rPr>
                <w:rFonts w:ascii="Times New Roman" w:eastAsia="Times New Roman" w:hAnsi="Times New Roman" w:cs="Times New Roman"/>
                <w:sz w:val="24"/>
                <w:szCs w:val="24"/>
                <w:lang w:eastAsia="tr-TR"/>
              </w:rPr>
              <w:t>Esas Yasa, Geçici 7’nci maddesinin (1)’inci fıkrası kaldırılmak ve yerine aşağıdaki yeni (1)’inci fıkra konmak suretiyle değiştirilir: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eastAsia="Times New Roman" w:hAnsi="Times New Roman" w:cs="Times New Roman"/>
                <w:sz w:val="24"/>
                <w:szCs w:val="24"/>
                <w:lang w:eastAsia="tr-TR"/>
              </w:rPr>
              <w:t>Değiştirilmesi</w:t>
            </w:r>
          </w:p>
        </w:tc>
        <w:tc>
          <w:tcPr>
            <w:tcW w:w="426" w:type="dxa"/>
          </w:tcPr>
          <w:p w:rsidR="003E214C" w:rsidRPr="003E214C" w:rsidRDefault="003E214C" w:rsidP="003E214C">
            <w:pPr>
              <w:rPr>
                <w:rFonts w:ascii="Times New Roman" w:hAnsi="Times New Roman" w:cs="Times New Roman"/>
                <w:sz w:val="24"/>
                <w:szCs w:val="24"/>
              </w:rPr>
            </w:pPr>
          </w:p>
        </w:tc>
        <w:tc>
          <w:tcPr>
            <w:tcW w:w="283" w:type="dxa"/>
            <w:gridSpan w:val="2"/>
          </w:tcPr>
          <w:p w:rsidR="003E214C" w:rsidRPr="003E214C" w:rsidRDefault="003E214C" w:rsidP="003E214C">
            <w:pPr>
              <w:rPr>
                <w:rFonts w:ascii="Times New Roman" w:hAnsi="Times New Roman" w:cs="Times New Roman"/>
                <w:sz w:val="24"/>
                <w:szCs w:val="24"/>
              </w:rPr>
            </w:pPr>
          </w:p>
        </w:tc>
        <w:tc>
          <w:tcPr>
            <w:tcW w:w="709" w:type="dxa"/>
            <w:gridSpan w:val="2"/>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“(1)</w:t>
            </w:r>
          </w:p>
        </w:tc>
        <w:tc>
          <w:tcPr>
            <w:tcW w:w="567" w:type="dxa"/>
            <w:gridSpan w:val="2"/>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(A)</w:t>
            </w:r>
          </w:p>
        </w:tc>
        <w:tc>
          <w:tcPr>
            <w:tcW w:w="5419" w:type="dxa"/>
            <w:gridSpan w:val="8"/>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 xml:space="preserve">Spor Fonu, Turizm Geliştirme ve Tanıtma Fonu, Piyangolar Birimi gelirleri ve İşgücü Planlama ve Geliştirme Merkezi gelirleri, bu Yasada yer alan ilkeler çerçevesinde ve Bakanlığın görüşlerine bağlı </w:t>
            </w:r>
            <w:r w:rsidRPr="003E214C">
              <w:rPr>
                <w:rFonts w:ascii="Times New Roman" w:hAnsi="Times New Roman" w:cs="Times New Roman"/>
                <w:sz w:val="24"/>
                <w:szCs w:val="24"/>
              </w:rPr>
              <w:lastRenderedPageBreak/>
              <w:t>kalınarak, 31 Aralık 2023 tarihine kadar ilgili yasalarında yapılacak düzenleme ile,</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283" w:type="dxa"/>
            <w:gridSpan w:val="2"/>
          </w:tcPr>
          <w:p w:rsidR="003E214C" w:rsidRPr="003E214C" w:rsidRDefault="003E214C" w:rsidP="003E214C">
            <w:pPr>
              <w:rPr>
                <w:rFonts w:ascii="Times New Roman" w:hAnsi="Times New Roman" w:cs="Times New Roman"/>
                <w:sz w:val="24"/>
                <w:szCs w:val="24"/>
              </w:rPr>
            </w:pPr>
          </w:p>
        </w:tc>
        <w:tc>
          <w:tcPr>
            <w:tcW w:w="709" w:type="dxa"/>
            <w:gridSpan w:val="2"/>
          </w:tcPr>
          <w:p w:rsidR="003E214C" w:rsidRPr="003E214C" w:rsidRDefault="003E214C" w:rsidP="003E214C">
            <w:pPr>
              <w:rPr>
                <w:rFonts w:ascii="Times New Roman" w:hAnsi="Times New Roman" w:cs="Times New Roman"/>
                <w:sz w:val="24"/>
                <w:szCs w:val="24"/>
              </w:rPr>
            </w:pPr>
          </w:p>
        </w:tc>
        <w:tc>
          <w:tcPr>
            <w:tcW w:w="567" w:type="dxa"/>
            <w:gridSpan w:val="2"/>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(B)</w:t>
            </w:r>
          </w:p>
        </w:tc>
        <w:tc>
          <w:tcPr>
            <w:tcW w:w="5419" w:type="dxa"/>
            <w:gridSpan w:val="8"/>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Sağlık Fonu, bu Yasada yer alan ilkeler çerçevesinde ve Bakanlığın görüşlerine bağlı kalınarak, 31 Aralık 2023 tarihine kadar ilgili yasalarında yapılacak düzenleme ile Sağlık Döner Sermayesi olarak,</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283" w:type="dxa"/>
            <w:gridSpan w:val="2"/>
          </w:tcPr>
          <w:p w:rsidR="003E214C" w:rsidRPr="003E214C" w:rsidRDefault="003E214C" w:rsidP="003E214C">
            <w:pPr>
              <w:rPr>
                <w:rFonts w:ascii="Times New Roman" w:hAnsi="Times New Roman" w:cs="Times New Roman"/>
                <w:sz w:val="24"/>
                <w:szCs w:val="24"/>
              </w:rPr>
            </w:pPr>
          </w:p>
        </w:tc>
        <w:tc>
          <w:tcPr>
            <w:tcW w:w="709" w:type="dxa"/>
            <w:gridSpan w:val="2"/>
          </w:tcPr>
          <w:p w:rsidR="003E214C" w:rsidRPr="003E214C" w:rsidRDefault="003E214C" w:rsidP="003E214C">
            <w:pPr>
              <w:rPr>
                <w:rFonts w:ascii="Times New Roman" w:hAnsi="Times New Roman" w:cs="Times New Roman"/>
                <w:sz w:val="24"/>
                <w:szCs w:val="24"/>
              </w:rPr>
            </w:pPr>
          </w:p>
        </w:tc>
        <w:tc>
          <w:tcPr>
            <w:tcW w:w="567" w:type="dxa"/>
            <w:gridSpan w:val="2"/>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(C)</w:t>
            </w:r>
          </w:p>
        </w:tc>
        <w:tc>
          <w:tcPr>
            <w:tcW w:w="5419" w:type="dxa"/>
            <w:gridSpan w:val="8"/>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Mesleki Teknik Öğretim Dairesi Döner Sermayeleri, bu Yasada yer alan ilkeler çerçevesinde ve Bakanlığın görüşlerine bağlı kalınarak, 31 Aralık 2023 tarihine kadar ilgili yasalarında yapılacak düzenleme ile,</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283" w:type="dxa"/>
            <w:gridSpan w:val="2"/>
          </w:tcPr>
          <w:p w:rsidR="003E214C" w:rsidRPr="003E214C" w:rsidRDefault="003E214C" w:rsidP="003E214C">
            <w:pPr>
              <w:rPr>
                <w:rFonts w:ascii="Times New Roman" w:hAnsi="Times New Roman" w:cs="Times New Roman"/>
                <w:sz w:val="24"/>
                <w:szCs w:val="24"/>
              </w:rPr>
            </w:pPr>
          </w:p>
        </w:tc>
        <w:tc>
          <w:tcPr>
            <w:tcW w:w="709" w:type="dxa"/>
            <w:gridSpan w:val="2"/>
          </w:tcPr>
          <w:p w:rsidR="003E214C" w:rsidRPr="003E214C" w:rsidRDefault="003E214C" w:rsidP="003E214C">
            <w:pPr>
              <w:rPr>
                <w:rFonts w:ascii="Times New Roman" w:hAnsi="Times New Roman" w:cs="Times New Roman"/>
                <w:sz w:val="24"/>
                <w:szCs w:val="24"/>
              </w:rPr>
            </w:pPr>
          </w:p>
        </w:tc>
        <w:tc>
          <w:tcPr>
            <w:tcW w:w="5986" w:type="dxa"/>
            <w:gridSpan w:val="10"/>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Genel Bütçe içerisinde yer alacaktır.”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283" w:type="dxa"/>
            <w:gridSpan w:val="2"/>
          </w:tcPr>
          <w:p w:rsidR="003E214C" w:rsidRPr="003E214C" w:rsidRDefault="003E214C" w:rsidP="003E214C">
            <w:pPr>
              <w:rPr>
                <w:rFonts w:ascii="Times New Roman" w:hAnsi="Times New Roman" w:cs="Times New Roman"/>
                <w:sz w:val="24"/>
                <w:szCs w:val="24"/>
              </w:rPr>
            </w:pPr>
          </w:p>
        </w:tc>
        <w:tc>
          <w:tcPr>
            <w:tcW w:w="709" w:type="dxa"/>
            <w:gridSpan w:val="2"/>
          </w:tcPr>
          <w:p w:rsidR="003E214C" w:rsidRPr="003E214C" w:rsidRDefault="003E214C" w:rsidP="003E214C">
            <w:pPr>
              <w:rPr>
                <w:rFonts w:ascii="Times New Roman" w:hAnsi="Times New Roman" w:cs="Times New Roman"/>
                <w:sz w:val="24"/>
                <w:szCs w:val="24"/>
              </w:rPr>
            </w:pPr>
          </w:p>
        </w:tc>
        <w:tc>
          <w:tcPr>
            <w:tcW w:w="1417" w:type="dxa"/>
            <w:gridSpan w:val="5"/>
          </w:tcPr>
          <w:p w:rsidR="003E214C" w:rsidRPr="003E214C" w:rsidRDefault="003E214C" w:rsidP="003E214C">
            <w:pPr>
              <w:rPr>
                <w:rFonts w:ascii="Times New Roman" w:hAnsi="Times New Roman" w:cs="Times New Roman"/>
                <w:sz w:val="24"/>
                <w:szCs w:val="24"/>
              </w:rPr>
            </w:pPr>
          </w:p>
        </w:tc>
        <w:tc>
          <w:tcPr>
            <w:tcW w:w="883"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Esas Yasaya Yeni Geçici 8’inci</w:t>
            </w:r>
          </w:p>
        </w:tc>
        <w:tc>
          <w:tcPr>
            <w:tcW w:w="7404" w:type="dxa"/>
            <w:gridSpan w:val="15"/>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5. Esas Yasa, Geçici 7’nci maddesinden hemen sonra aşağıdaki yeni Geçici 8’inci madde eklenmek suretiyle değiştirilir: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Maddenin</w:t>
            </w:r>
          </w:p>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Eklenmesi</w:t>
            </w:r>
          </w:p>
        </w:tc>
        <w:tc>
          <w:tcPr>
            <w:tcW w:w="426" w:type="dxa"/>
          </w:tcPr>
          <w:p w:rsidR="003E214C" w:rsidRPr="003E214C" w:rsidRDefault="003E214C" w:rsidP="003E214C">
            <w:pPr>
              <w:rPr>
                <w:rFonts w:ascii="Times New Roman" w:hAnsi="Times New Roman" w:cs="Times New Roman"/>
                <w:sz w:val="24"/>
                <w:szCs w:val="24"/>
              </w:rPr>
            </w:pPr>
          </w:p>
        </w:tc>
        <w:tc>
          <w:tcPr>
            <w:tcW w:w="283" w:type="dxa"/>
            <w:gridSpan w:val="2"/>
          </w:tcPr>
          <w:p w:rsidR="003E214C" w:rsidRPr="003E214C" w:rsidRDefault="003E214C" w:rsidP="003E214C">
            <w:pPr>
              <w:rPr>
                <w:rFonts w:ascii="Times New Roman" w:hAnsi="Times New Roman" w:cs="Times New Roman"/>
                <w:sz w:val="24"/>
                <w:szCs w:val="24"/>
              </w:rPr>
            </w:pPr>
          </w:p>
        </w:tc>
        <w:tc>
          <w:tcPr>
            <w:tcW w:w="1985" w:type="dxa"/>
            <w:gridSpan w:val="5"/>
          </w:tcPr>
          <w:p w:rsidR="003E214C" w:rsidRPr="003E214C" w:rsidRDefault="003E214C" w:rsidP="003E214C">
            <w:pPr>
              <w:jc w:val="both"/>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 xml:space="preserve">“Geçici Madde </w:t>
            </w:r>
          </w:p>
          <w:p w:rsidR="003E214C" w:rsidRPr="003E214C" w:rsidRDefault="003E214C" w:rsidP="003E214C">
            <w:pPr>
              <w:ind w:left="72"/>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Kamu    Kaynaklarının Kullanımında Geçici Süreç</w:t>
            </w:r>
          </w:p>
        </w:tc>
        <w:tc>
          <w:tcPr>
            <w:tcW w:w="4710" w:type="dxa"/>
            <w:gridSpan w:val="7"/>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 xml:space="preserve">8. </w:t>
            </w:r>
            <w:r w:rsidRPr="003E214C">
              <w:rPr>
                <w:rFonts w:ascii="Times New Roman" w:eastAsia="Times New Roman" w:hAnsi="Times New Roman" w:cs="Times New Roman"/>
                <w:sz w:val="24"/>
                <w:szCs w:val="24"/>
                <w:lang w:eastAsia="tr-TR"/>
              </w:rPr>
              <w:t xml:space="preserve">Esas Yasanın 24’üncü maddesinin (9)’uncu fıkrası 31 Aralık 2023 tarihine kadar durdurulur ve </w:t>
            </w:r>
            <w:r w:rsidRPr="003E214C">
              <w:rPr>
                <w:rFonts w:ascii="Times New Roman" w:hAnsi="Times New Roman" w:cs="Times New Roman"/>
                <w:sz w:val="24"/>
                <w:szCs w:val="24"/>
              </w:rPr>
              <w:t>1 Ocak 2024 tarihinden başlayarak yürürlüğe girer.”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283" w:type="dxa"/>
            <w:gridSpan w:val="2"/>
          </w:tcPr>
          <w:p w:rsidR="003E214C" w:rsidRPr="003E214C" w:rsidRDefault="003E214C" w:rsidP="003E214C">
            <w:pPr>
              <w:rPr>
                <w:rFonts w:ascii="Times New Roman" w:hAnsi="Times New Roman" w:cs="Times New Roman"/>
                <w:sz w:val="24"/>
                <w:szCs w:val="24"/>
              </w:rPr>
            </w:pPr>
          </w:p>
        </w:tc>
        <w:tc>
          <w:tcPr>
            <w:tcW w:w="1985" w:type="dxa"/>
            <w:gridSpan w:val="5"/>
          </w:tcPr>
          <w:p w:rsidR="003E214C" w:rsidRPr="003E214C" w:rsidRDefault="003E214C" w:rsidP="003E214C">
            <w:pPr>
              <w:jc w:val="both"/>
              <w:rPr>
                <w:rFonts w:ascii="Times New Roman" w:eastAsia="Times New Roman" w:hAnsi="Times New Roman" w:cs="Times New Roman"/>
                <w:sz w:val="24"/>
                <w:szCs w:val="24"/>
                <w:lang w:eastAsia="tr-TR"/>
              </w:rPr>
            </w:pPr>
          </w:p>
        </w:tc>
        <w:tc>
          <w:tcPr>
            <w:tcW w:w="4710" w:type="dxa"/>
            <w:gridSpan w:val="7"/>
          </w:tcPr>
          <w:p w:rsidR="003E214C" w:rsidRPr="003E214C" w:rsidRDefault="003E214C" w:rsidP="003E214C">
            <w:pPr>
              <w:jc w:val="both"/>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 xml:space="preserve">Esas Yasanın 97’nci Maddesinin </w:t>
            </w:r>
          </w:p>
        </w:tc>
        <w:tc>
          <w:tcPr>
            <w:tcW w:w="7404" w:type="dxa"/>
            <w:gridSpan w:val="15"/>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6. Esas Yasa, 97’nci maddesi kaldırılmak ve yerine aşağıdaki yeni 97’nci madde konmak suretiyle değiştirilir: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Değiştirilmesi</w:t>
            </w:r>
          </w:p>
        </w:tc>
        <w:tc>
          <w:tcPr>
            <w:tcW w:w="709" w:type="dxa"/>
            <w:gridSpan w:val="3"/>
          </w:tcPr>
          <w:p w:rsidR="003E214C" w:rsidRPr="003E214C" w:rsidRDefault="003E214C" w:rsidP="003E214C">
            <w:pPr>
              <w:rPr>
                <w:rFonts w:ascii="Times New Roman" w:hAnsi="Times New Roman" w:cs="Times New Roman"/>
                <w:sz w:val="24"/>
                <w:szCs w:val="24"/>
              </w:rPr>
            </w:pPr>
          </w:p>
        </w:tc>
        <w:tc>
          <w:tcPr>
            <w:tcW w:w="1985" w:type="dxa"/>
            <w:gridSpan w:val="5"/>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“Yürürlüğe Giriş</w:t>
            </w:r>
          </w:p>
        </w:tc>
        <w:tc>
          <w:tcPr>
            <w:tcW w:w="4710" w:type="dxa"/>
            <w:gridSpan w:val="7"/>
          </w:tcPr>
          <w:p w:rsidR="003E214C" w:rsidRPr="003E214C" w:rsidRDefault="003E214C" w:rsidP="003E214C">
            <w:pPr>
              <w:jc w:val="both"/>
              <w:rPr>
                <w:rFonts w:ascii="Times New Roman" w:eastAsia="Times New Roman" w:hAnsi="Times New Roman" w:cs="Times New Roman"/>
                <w:sz w:val="24"/>
                <w:szCs w:val="24"/>
                <w:lang w:eastAsia="tr-TR"/>
              </w:rPr>
            </w:pPr>
            <w:r w:rsidRPr="003E214C">
              <w:rPr>
                <w:rFonts w:ascii="Times New Roman" w:eastAsia="Times New Roman" w:hAnsi="Times New Roman" w:cs="Times New Roman"/>
                <w:sz w:val="24"/>
                <w:szCs w:val="24"/>
                <w:lang w:eastAsia="tr-TR"/>
              </w:rPr>
              <w:t xml:space="preserve">97. </w:t>
            </w:r>
            <w:r w:rsidRPr="003E214C">
              <w:rPr>
                <w:rFonts w:ascii="Times New Roman" w:hAnsi="Times New Roman" w:cs="Times New Roman"/>
                <w:sz w:val="24"/>
                <w:szCs w:val="24"/>
              </w:rPr>
              <w:t>Bu Yasa, 1 Ocak 2022 tarihinden başlayarak yürürlüğe girer.”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7404" w:type="dxa"/>
            <w:gridSpan w:val="15"/>
          </w:tcPr>
          <w:p w:rsidR="003E214C" w:rsidRPr="003E214C" w:rsidRDefault="003E214C" w:rsidP="003E214C">
            <w:pPr>
              <w:jc w:val="both"/>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 xml:space="preserve">Yürürlükten Kaldırma </w:t>
            </w:r>
          </w:p>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R.G. EK: I</w:t>
            </w:r>
          </w:p>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Bölüm II</w:t>
            </w:r>
          </w:p>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R.G. Sayı: 239</w:t>
            </w:r>
          </w:p>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Sayı:127/2020</w:t>
            </w:r>
          </w:p>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31 Aralık 2020</w:t>
            </w:r>
          </w:p>
        </w:tc>
        <w:tc>
          <w:tcPr>
            <w:tcW w:w="7404" w:type="dxa"/>
            <w:gridSpan w:val="15"/>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7. Bu (Değişiklik) Yasasının yürürlüğe girdiği tarihten başlayarak, Kamu Mali Yönetimi ve Kontrol Yasası Hakkında Yasa Gücünde Kararname, bu Kararname altında yapılan işlemlere halel gelmeksizin yürürlükten kaldırılır.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7404" w:type="dxa"/>
            <w:gridSpan w:val="15"/>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r w:rsidRPr="003E214C">
              <w:rPr>
                <w:rFonts w:ascii="Times New Roman" w:hAnsi="Times New Roman" w:cs="Times New Roman"/>
                <w:sz w:val="24"/>
                <w:szCs w:val="24"/>
              </w:rPr>
              <w:t>Yürürlüğe Giriş</w:t>
            </w:r>
          </w:p>
        </w:tc>
        <w:tc>
          <w:tcPr>
            <w:tcW w:w="7404" w:type="dxa"/>
            <w:gridSpan w:val="15"/>
          </w:tcPr>
          <w:p w:rsidR="003E214C" w:rsidRPr="003E214C" w:rsidRDefault="003E214C" w:rsidP="003E214C">
            <w:pPr>
              <w:jc w:val="both"/>
              <w:rPr>
                <w:rFonts w:ascii="Times New Roman" w:hAnsi="Times New Roman" w:cs="Times New Roman"/>
                <w:sz w:val="24"/>
                <w:szCs w:val="24"/>
              </w:rPr>
            </w:pPr>
            <w:r w:rsidRPr="003E214C">
              <w:rPr>
                <w:rFonts w:ascii="Times New Roman" w:hAnsi="Times New Roman" w:cs="Times New Roman"/>
                <w:sz w:val="24"/>
                <w:szCs w:val="24"/>
              </w:rPr>
              <w:t xml:space="preserve">8. </w:t>
            </w:r>
            <w:r w:rsidRPr="003E214C">
              <w:rPr>
                <w:rFonts w:ascii="Times New Roman" w:hAnsi="Times New Roman" w:cs="Times New Roman"/>
                <w:sz w:val="24"/>
                <w:szCs w:val="24"/>
                <w:lang w:val="en-US"/>
              </w:rPr>
              <w:t>Bu Yasa, Resmi Gazete’de yayımlandığı tarihten başlayarak yürürlüğe girer.</w:t>
            </w: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6978" w:type="dxa"/>
            <w:gridSpan w:val="14"/>
          </w:tcPr>
          <w:p w:rsidR="003E214C" w:rsidRPr="003E214C" w:rsidRDefault="003E214C" w:rsidP="003E214C">
            <w:pPr>
              <w:rPr>
                <w:rFonts w:ascii="Times New Roman" w:hAnsi="Times New Roman" w:cs="Times New Roman"/>
                <w:sz w:val="24"/>
                <w:szCs w:val="24"/>
                <w:lang w:val="en-US"/>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528" w:type="dxa"/>
            <w:gridSpan w:val="3"/>
          </w:tcPr>
          <w:p w:rsidR="003E214C" w:rsidRPr="003E214C" w:rsidRDefault="003E214C" w:rsidP="003E214C">
            <w:pPr>
              <w:rPr>
                <w:rFonts w:ascii="Times New Roman" w:hAnsi="Times New Roman" w:cs="Times New Roman"/>
                <w:sz w:val="24"/>
                <w:szCs w:val="24"/>
              </w:rPr>
            </w:pPr>
          </w:p>
        </w:tc>
        <w:tc>
          <w:tcPr>
            <w:tcW w:w="921" w:type="dxa"/>
            <w:gridSpan w:val="2"/>
          </w:tcPr>
          <w:p w:rsidR="003E214C" w:rsidRPr="003E214C" w:rsidRDefault="003E214C" w:rsidP="003E214C">
            <w:pPr>
              <w:rPr>
                <w:rFonts w:ascii="Times New Roman" w:hAnsi="Times New Roman" w:cs="Times New Roman"/>
                <w:sz w:val="24"/>
                <w:szCs w:val="24"/>
              </w:rPr>
            </w:pPr>
          </w:p>
        </w:tc>
        <w:tc>
          <w:tcPr>
            <w:tcW w:w="960" w:type="dxa"/>
            <w:gridSpan w:val="4"/>
          </w:tcPr>
          <w:p w:rsidR="003E214C" w:rsidRPr="003E214C" w:rsidRDefault="003E214C" w:rsidP="003E214C">
            <w:pPr>
              <w:rPr>
                <w:rFonts w:ascii="Times New Roman" w:hAnsi="Times New Roman" w:cs="Times New Roman"/>
                <w:sz w:val="24"/>
                <w:szCs w:val="24"/>
              </w:rPr>
            </w:pPr>
          </w:p>
        </w:tc>
        <w:tc>
          <w:tcPr>
            <w:tcW w:w="883"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528" w:type="dxa"/>
            <w:gridSpan w:val="3"/>
          </w:tcPr>
          <w:p w:rsidR="003E214C" w:rsidRPr="003E214C" w:rsidRDefault="003E214C" w:rsidP="003E214C">
            <w:pPr>
              <w:rPr>
                <w:rFonts w:ascii="Times New Roman" w:hAnsi="Times New Roman" w:cs="Times New Roman"/>
                <w:sz w:val="24"/>
                <w:szCs w:val="24"/>
              </w:rPr>
            </w:pPr>
          </w:p>
        </w:tc>
        <w:tc>
          <w:tcPr>
            <w:tcW w:w="921" w:type="dxa"/>
            <w:gridSpan w:val="2"/>
          </w:tcPr>
          <w:p w:rsidR="003E214C" w:rsidRPr="003E214C" w:rsidRDefault="003E214C" w:rsidP="003E214C">
            <w:pPr>
              <w:rPr>
                <w:rFonts w:ascii="Times New Roman" w:hAnsi="Times New Roman" w:cs="Times New Roman"/>
                <w:sz w:val="24"/>
                <w:szCs w:val="24"/>
              </w:rPr>
            </w:pPr>
          </w:p>
        </w:tc>
        <w:tc>
          <w:tcPr>
            <w:tcW w:w="960" w:type="dxa"/>
            <w:gridSpan w:val="4"/>
          </w:tcPr>
          <w:p w:rsidR="003E214C" w:rsidRPr="003E214C" w:rsidRDefault="003E214C" w:rsidP="003E214C">
            <w:pPr>
              <w:rPr>
                <w:rFonts w:ascii="Times New Roman" w:hAnsi="Times New Roman" w:cs="Times New Roman"/>
                <w:sz w:val="24"/>
                <w:szCs w:val="24"/>
              </w:rPr>
            </w:pPr>
          </w:p>
        </w:tc>
        <w:tc>
          <w:tcPr>
            <w:tcW w:w="883"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528" w:type="dxa"/>
            <w:gridSpan w:val="3"/>
          </w:tcPr>
          <w:p w:rsidR="003E214C" w:rsidRPr="003E214C" w:rsidRDefault="003E214C" w:rsidP="003E214C">
            <w:pPr>
              <w:rPr>
                <w:rFonts w:ascii="Times New Roman" w:hAnsi="Times New Roman" w:cs="Times New Roman"/>
                <w:sz w:val="24"/>
                <w:szCs w:val="24"/>
              </w:rPr>
            </w:pPr>
          </w:p>
        </w:tc>
        <w:tc>
          <w:tcPr>
            <w:tcW w:w="921" w:type="dxa"/>
            <w:gridSpan w:val="2"/>
          </w:tcPr>
          <w:p w:rsidR="003E214C" w:rsidRPr="003E214C" w:rsidRDefault="003E214C" w:rsidP="003E214C">
            <w:pPr>
              <w:rPr>
                <w:rFonts w:ascii="Times New Roman" w:hAnsi="Times New Roman" w:cs="Times New Roman"/>
                <w:sz w:val="24"/>
                <w:szCs w:val="24"/>
              </w:rPr>
            </w:pPr>
          </w:p>
        </w:tc>
        <w:tc>
          <w:tcPr>
            <w:tcW w:w="960" w:type="dxa"/>
            <w:gridSpan w:val="4"/>
          </w:tcPr>
          <w:p w:rsidR="003E214C" w:rsidRPr="003E214C" w:rsidRDefault="003E214C" w:rsidP="003E214C">
            <w:pPr>
              <w:rPr>
                <w:rFonts w:ascii="Times New Roman" w:hAnsi="Times New Roman" w:cs="Times New Roman"/>
                <w:sz w:val="24"/>
                <w:szCs w:val="24"/>
              </w:rPr>
            </w:pPr>
          </w:p>
        </w:tc>
        <w:tc>
          <w:tcPr>
            <w:tcW w:w="883"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r>
      <w:tr w:rsidR="003E214C" w:rsidRPr="003E214C" w:rsidTr="005C7568">
        <w:tc>
          <w:tcPr>
            <w:tcW w:w="1809" w:type="dxa"/>
          </w:tcPr>
          <w:p w:rsidR="003E214C" w:rsidRPr="003E214C" w:rsidRDefault="003E214C" w:rsidP="003E214C">
            <w:pPr>
              <w:rPr>
                <w:rFonts w:ascii="Times New Roman" w:hAnsi="Times New Roman" w:cs="Times New Roman"/>
                <w:sz w:val="24"/>
                <w:szCs w:val="24"/>
              </w:rPr>
            </w:pPr>
          </w:p>
        </w:tc>
        <w:tc>
          <w:tcPr>
            <w:tcW w:w="426" w:type="dxa"/>
          </w:tcPr>
          <w:p w:rsidR="003E214C" w:rsidRPr="003E214C" w:rsidRDefault="003E214C" w:rsidP="003E214C">
            <w:pPr>
              <w:rPr>
                <w:rFonts w:ascii="Times New Roman" w:hAnsi="Times New Roman" w:cs="Times New Roman"/>
                <w:sz w:val="24"/>
                <w:szCs w:val="24"/>
              </w:rPr>
            </w:pPr>
          </w:p>
        </w:tc>
        <w:tc>
          <w:tcPr>
            <w:tcW w:w="528" w:type="dxa"/>
            <w:gridSpan w:val="3"/>
          </w:tcPr>
          <w:p w:rsidR="003E214C" w:rsidRPr="003E214C" w:rsidRDefault="003E214C" w:rsidP="003E214C">
            <w:pPr>
              <w:rPr>
                <w:rFonts w:ascii="Times New Roman" w:hAnsi="Times New Roman" w:cs="Times New Roman"/>
                <w:sz w:val="24"/>
                <w:szCs w:val="24"/>
              </w:rPr>
            </w:pPr>
          </w:p>
        </w:tc>
        <w:tc>
          <w:tcPr>
            <w:tcW w:w="921" w:type="dxa"/>
            <w:gridSpan w:val="2"/>
          </w:tcPr>
          <w:p w:rsidR="003E214C" w:rsidRPr="003E214C" w:rsidRDefault="003E214C" w:rsidP="003E214C">
            <w:pPr>
              <w:rPr>
                <w:rFonts w:ascii="Times New Roman" w:hAnsi="Times New Roman" w:cs="Times New Roman"/>
                <w:sz w:val="24"/>
                <w:szCs w:val="24"/>
              </w:rPr>
            </w:pPr>
          </w:p>
        </w:tc>
        <w:tc>
          <w:tcPr>
            <w:tcW w:w="960" w:type="dxa"/>
            <w:gridSpan w:val="4"/>
          </w:tcPr>
          <w:p w:rsidR="003E214C" w:rsidRPr="003E214C" w:rsidRDefault="003E214C" w:rsidP="003E214C">
            <w:pPr>
              <w:rPr>
                <w:rFonts w:ascii="Times New Roman" w:hAnsi="Times New Roman" w:cs="Times New Roman"/>
                <w:sz w:val="24"/>
                <w:szCs w:val="24"/>
              </w:rPr>
            </w:pPr>
          </w:p>
        </w:tc>
        <w:tc>
          <w:tcPr>
            <w:tcW w:w="883"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1"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c>
          <w:tcPr>
            <w:tcW w:w="922" w:type="dxa"/>
          </w:tcPr>
          <w:p w:rsidR="003E214C" w:rsidRPr="003E214C" w:rsidRDefault="003E214C" w:rsidP="003E214C">
            <w:pPr>
              <w:rPr>
                <w:rFonts w:ascii="Times New Roman" w:hAnsi="Times New Roman" w:cs="Times New Roman"/>
                <w:sz w:val="24"/>
                <w:szCs w:val="24"/>
              </w:rPr>
            </w:pPr>
          </w:p>
        </w:tc>
      </w:tr>
    </w:tbl>
    <w:p w:rsidR="003E214C" w:rsidRPr="003E214C" w:rsidRDefault="003E214C" w:rsidP="003E214C">
      <w:pPr>
        <w:spacing w:after="0" w:line="240" w:lineRule="auto"/>
      </w:pPr>
      <w:r w:rsidRPr="003E214C">
        <w:br w:type="page"/>
      </w:r>
    </w:p>
    <w:p w:rsidR="003E214C" w:rsidRPr="003E214C" w:rsidRDefault="003E214C" w:rsidP="003E214C">
      <w:pPr>
        <w:spacing w:after="160" w:line="259" w:lineRule="auto"/>
      </w:pPr>
    </w:p>
    <w:tbl>
      <w:tblPr>
        <w:tblW w:w="8505" w:type="dxa"/>
        <w:jc w:val="center"/>
        <w:tblLayout w:type="fixed"/>
        <w:tblLook w:val="04A0" w:firstRow="1" w:lastRow="0" w:firstColumn="1" w:lastColumn="0" w:noHBand="0" w:noVBand="1"/>
      </w:tblPr>
      <w:tblGrid>
        <w:gridCol w:w="8505"/>
      </w:tblGrid>
      <w:tr w:rsidR="00B019D3" w:rsidRPr="002A0747" w:rsidTr="005C7568">
        <w:trPr>
          <w:trHeight w:val="829"/>
          <w:jc w:val="center"/>
        </w:trPr>
        <w:tc>
          <w:tcPr>
            <w:tcW w:w="8505" w:type="dxa"/>
            <w:vAlign w:val="center"/>
          </w:tcPr>
          <w:p w:rsidR="00B019D3" w:rsidRDefault="00B019D3" w:rsidP="005C7568">
            <w:pPr>
              <w:pStyle w:val="ListParagraph"/>
              <w:widowControl w:val="0"/>
              <w:spacing w:after="0" w:line="240" w:lineRule="auto"/>
              <w:jc w:val="center"/>
              <w:rPr>
                <w:rFonts w:ascii="Times New Roman" w:hAnsi="Times New Roman" w:cs="Times New Roman"/>
                <w:sz w:val="24"/>
                <w:szCs w:val="24"/>
              </w:rPr>
            </w:pPr>
            <w:r w:rsidRPr="002A0747">
              <w:rPr>
                <w:rFonts w:ascii="Times New Roman" w:hAnsi="Times New Roman" w:cs="Times New Roman"/>
                <w:sz w:val="24"/>
                <w:szCs w:val="24"/>
              </w:rPr>
              <w:t>VI.  CETVEL</w:t>
            </w:r>
          </w:p>
          <w:p w:rsidR="00B019D3" w:rsidRPr="002A0747" w:rsidRDefault="00B019D3" w:rsidP="005C7568">
            <w:pPr>
              <w:pStyle w:val="ListParagraph"/>
              <w:widowControl w:val="0"/>
              <w:spacing w:after="0" w:line="240" w:lineRule="auto"/>
              <w:jc w:val="center"/>
              <w:rPr>
                <w:rFonts w:ascii="Times New Roman" w:hAnsi="Times New Roman" w:cs="Times New Roman"/>
                <w:sz w:val="24"/>
                <w:szCs w:val="24"/>
              </w:rPr>
            </w:pPr>
          </w:p>
          <w:p w:rsidR="00B019D3" w:rsidRDefault="00B019D3" w:rsidP="005C7568">
            <w:pPr>
              <w:pStyle w:val="ListParagraph"/>
              <w:widowControl w:val="0"/>
              <w:spacing w:after="0" w:line="240" w:lineRule="auto"/>
              <w:jc w:val="center"/>
              <w:rPr>
                <w:rFonts w:ascii="Times New Roman" w:hAnsi="Times New Roman" w:cs="Times New Roman"/>
                <w:sz w:val="24"/>
                <w:szCs w:val="24"/>
              </w:rPr>
            </w:pPr>
            <w:r w:rsidRPr="002A0747">
              <w:rPr>
                <w:rFonts w:ascii="Times New Roman" w:hAnsi="Times New Roman" w:cs="Times New Roman"/>
                <w:sz w:val="24"/>
                <w:szCs w:val="24"/>
              </w:rPr>
              <w:t>YEREL YÖNETİMLER</w:t>
            </w:r>
          </w:p>
          <w:p w:rsidR="00B019D3" w:rsidRPr="002A0747" w:rsidRDefault="00B019D3" w:rsidP="005C7568">
            <w:pPr>
              <w:pStyle w:val="ListParagraph"/>
              <w:widowControl w:val="0"/>
              <w:spacing w:after="0" w:line="240" w:lineRule="auto"/>
              <w:jc w:val="center"/>
              <w:rPr>
                <w:rFonts w:ascii="Times New Roman" w:hAnsi="Times New Roman" w:cs="Times New Roman"/>
                <w:sz w:val="24"/>
                <w:szCs w:val="24"/>
              </w:rPr>
            </w:pPr>
          </w:p>
        </w:tc>
      </w:tr>
      <w:tr w:rsidR="00B019D3" w:rsidRPr="002A0747" w:rsidTr="005C7568">
        <w:trPr>
          <w:trHeight w:val="6120"/>
          <w:jc w:val="center"/>
        </w:trPr>
        <w:tc>
          <w:tcPr>
            <w:tcW w:w="8505" w:type="dxa"/>
            <w:vAlign w:val="center"/>
          </w:tcPr>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A13B67">
              <w:rPr>
                <w:rFonts w:ascii="Times New Roman" w:hAnsi="Times New Roman" w:cs="Times New Roman"/>
                <w:sz w:val="24"/>
                <w:szCs w:val="24"/>
              </w:rPr>
              <w:t>Lefkoşa Türk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Gazimağusa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Girne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Güzelyurt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İskele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Lefke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Değirmenlik - Akıncılar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Lapta – Alsancak - Çamlıbel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Erenköy - Karpaz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Mehmetçik - Büyükkonuk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Geçitkale - Serdarlı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Mesarya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 xml:space="preserve">Gönyeli - Alayköy Belediyesi </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Yeniboğaziçi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Çatalköy-Esentepe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Dikmen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Tatlısu Belediyesi</w:t>
            </w:r>
          </w:p>
          <w:p w:rsidR="00B019D3"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sidRPr="002A0747">
              <w:rPr>
                <w:rFonts w:ascii="Times New Roman" w:hAnsi="Times New Roman" w:cs="Times New Roman"/>
                <w:sz w:val="24"/>
                <w:szCs w:val="24"/>
              </w:rPr>
              <w:t>Beyarmudu Belediyesi</w:t>
            </w:r>
          </w:p>
          <w:p w:rsidR="00B019D3" w:rsidRPr="002A0747" w:rsidRDefault="00B019D3" w:rsidP="005C7568">
            <w:pPr>
              <w:pStyle w:val="ListParagraph"/>
              <w:widowControl w:val="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Kıbrıs Türk Belediyeler Birliği</w:t>
            </w:r>
          </w:p>
        </w:tc>
      </w:tr>
    </w:tbl>
    <w:p w:rsidR="00B019D3" w:rsidRPr="004A5FF2" w:rsidRDefault="00B019D3" w:rsidP="00B019D3">
      <w:pPr>
        <w:rPr>
          <w:rFonts w:ascii="Times New Roman" w:hAnsi="Times New Roman" w:cs="Times New Roman"/>
          <w:sz w:val="24"/>
          <w:szCs w:val="24"/>
        </w:rPr>
      </w:pPr>
    </w:p>
    <w:p w:rsidR="003E214C" w:rsidRDefault="003E214C"/>
    <w:sectPr w:rsidR="003E2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D046A"/>
    <w:multiLevelType w:val="hybridMultilevel"/>
    <w:tmpl w:val="45DA1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4C"/>
    <w:rsid w:val="000F49BB"/>
    <w:rsid w:val="003E214C"/>
    <w:rsid w:val="005E0A92"/>
    <w:rsid w:val="00813F53"/>
    <w:rsid w:val="00B01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1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19D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1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19D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Feyza Sarıkamış</cp:lastModifiedBy>
  <cp:revision>2</cp:revision>
  <dcterms:created xsi:type="dcterms:W3CDTF">2022-11-01T11:37:00Z</dcterms:created>
  <dcterms:modified xsi:type="dcterms:W3CDTF">2022-11-01T11:37:00Z</dcterms:modified>
</cp:coreProperties>
</file>