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540"/>
      </w:tblGrid>
      <w:tr w:rsidR="00B345A6">
        <w:trPr>
          <w:trHeight w:val="151"/>
        </w:trPr>
        <w:tc>
          <w:tcPr>
            <w:tcW w:w="9540" w:type="dxa"/>
          </w:tcPr>
          <w:p w:rsidR="00B345A6" w:rsidRDefault="00B345A6">
            <w:pPr>
              <w:overflowPunct w:val="0"/>
              <w:autoSpaceDE w:val="0"/>
              <w:autoSpaceDN w:val="0"/>
              <w:adjustRightInd w:val="0"/>
              <w:jc w:val="both"/>
              <w:rPr>
                <w:sz w:val="24"/>
                <w:szCs w:val="24"/>
              </w:rPr>
            </w:pPr>
            <w:r>
              <w:rPr>
                <w:sz w:val="24"/>
                <w:szCs w:val="24"/>
              </w:rPr>
              <w:t>Kuzey Kıbrıs Türk Cumhuriyeti Cumhuriyet Meclisi’nin 9 Kasım 2015 tarihli Onbirinci  Birleşiminde Oybirliğiyle kabul olunan “Kıbrıs Türk Mühendis ve Mimar Odaları Birliği (Değişiklik) Yasası” Anayasanın 94’üncü maddesinin (1)’inci fıkrası gereğince Kuzey Kıbrıs Türk Cumhuriyeti Cumhurbaşkanı tarafından Resmi Gazete’de yayımlanmak suretiyle ilan olunur.</w:t>
            </w:r>
          </w:p>
        </w:tc>
      </w:tr>
      <w:tr w:rsidR="00B345A6">
        <w:trPr>
          <w:trHeight w:val="151"/>
        </w:trPr>
        <w:tc>
          <w:tcPr>
            <w:tcW w:w="9540" w:type="dxa"/>
          </w:tcPr>
          <w:p w:rsidR="00B345A6" w:rsidRDefault="00B345A6">
            <w:pPr>
              <w:overflowPunct w:val="0"/>
              <w:autoSpaceDE w:val="0"/>
              <w:autoSpaceDN w:val="0"/>
              <w:adjustRightInd w:val="0"/>
              <w:jc w:val="center"/>
              <w:rPr>
                <w:sz w:val="24"/>
                <w:szCs w:val="24"/>
              </w:rPr>
            </w:pPr>
          </w:p>
        </w:tc>
      </w:tr>
      <w:tr w:rsidR="00B345A6">
        <w:trPr>
          <w:trHeight w:val="151"/>
        </w:trPr>
        <w:tc>
          <w:tcPr>
            <w:tcW w:w="9540" w:type="dxa"/>
          </w:tcPr>
          <w:p w:rsidR="00B345A6" w:rsidRDefault="00B345A6">
            <w:pPr>
              <w:jc w:val="center"/>
              <w:rPr>
                <w:sz w:val="24"/>
                <w:szCs w:val="24"/>
              </w:rPr>
            </w:pPr>
            <w:r>
              <w:rPr>
                <w:sz w:val="24"/>
                <w:szCs w:val="24"/>
              </w:rPr>
              <w:t>Sayı:52/2015</w:t>
            </w:r>
          </w:p>
          <w:p w:rsidR="00B345A6" w:rsidRDefault="00B345A6">
            <w:pPr>
              <w:overflowPunct w:val="0"/>
              <w:autoSpaceDE w:val="0"/>
              <w:autoSpaceDN w:val="0"/>
              <w:adjustRightInd w:val="0"/>
              <w:jc w:val="center"/>
              <w:rPr>
                <w:sz w:val="24"/>
                <w:szCs w:val="24"/>
              </w:rPr>
            </w:pPr>
          </w:p>
        </w:tc>
      </w:tr>
    </w:tbl>
    <w:p w:rsidR="00B345A6" w:rsidRPr="00327489" w:rsidRDefault="00B345A6" w:rsidP="00E67FEC">
      <w:pPr>
        <w:jc w:val="center"/>
        <w:rPr>
          <w:sz w:val="24"/>
          <w:szCs w:val="24"/>
        </w:rPr>
      </w:pPr>
    </w:p>
    <w:p w:rsidR="00B345A6" w:rsidRDefault="00B345A6" w:rsidP="00E67FEC">
      <w:pPr>
        <w:jc w:val="center"/>
        <w:rPr>
          <w:sz w:val="24"/>
          <w:szCs w:val="24"/>
        </w:rPr>
      </w:pPr>
    </w:p>
    <w:p w:rsidR="00B345A6" w:rsidRDefault="00B345A6" w:rsidP="00E67FEC">
      <w:pPr>
        <w:jc w:val="center"/>
        <w:rPr>
          <w:sz w:val="24"/>
          <w:szCs w:val="24"/>
        </w:rPr>
      </w:pPr>
      <w:r>
        <w:rPr>
          <w:sz w:val="24"/>
          <w:szCs w:val="24"/>
        </w:rPr>
        <w:t>KIBRIS TÜRK MÜHENDİS VE MİMAR ODALARI BİRLİĞİ</w:t>
      </w:r>
    </w:p>
    <w:p w:rsidR="00B345A6" w:rsidRPr="00327489" w:rsidRDefault="00B345A6" w:rsidP="00E67FEC">
      <w:pPr>
        <w:jc w:val="center"/>
        <w:rPr>
          <w:sz w:val="24"/>
          <w:szCs w:val="24"/>
        </w:rPr>
      </w:pPr>
      <w:r>
        <w:rPr>
          <w:sz w:val="24"/>
          <w:szCs w:val="24"/>
        </w:rPr>
        <w:t xml:space="preserve"> (DEĞİŞİKLİK) </w:t>
      </w:r>
      <w:r w:rsidRPr="00327489">
        <w:rPr>
          <w:sz w:val="24"/>
          <w:szCs w:val="24"/>
        </w:rPr>
        <w:t>YASA</w:t>
      </w:r>
      <w:r>
        <w:rPr>
          <w:sz w:val="24"/>
          <w:szCs w:val="24"/>
        </w:rPr>
        <w:t>SI</w:t>
      </w:r>
    </w:p>
    <w:p w:rsidR="00B345A6" w:rsidRPr="00327489" w:rsidRDefault="00B345A6" w:rsidP="00E67FEC">
      <w:pPr>
        <w:jc w:val="center"/>
        <w:rPr>
          <w:sz w:val="24"/>
          <w:szCs w:val="24"/>
        </w:rPr>
      </w:pPr>
    </w:p>
    <w:tbl>
      <w:tblPr>
        <w:tblW w:w="9230" w:type="dxa"/>
        <w:tblInd w:w="-106" w:type="dxa"/>
        <w:tblLayout w:type="fixed"/>
        <w:tblLook w:val="0000"/>
      </w:tblPr>
      <w:tblGrid>
        <w:gridCol w:w="1950"/>
        <w:gridCol w:w="496"/>
        <w:gridCol w:w="616"/>
        <w:gridCol w:w="3433"/>
        <w:gridCol w:w="1630"/>
        <w:gridCol w:w="1105"/>
      </w:tblGrid>
      <w:tr w:rsidR="00B345A6" w:rsidRPr="00327489">
        <w:tc>
          <w:tcPr>
            <w:tcW w:w="1950" w:type="dxa"/>
          </w:tcPr>
          <w:p w:rsidR="00B345A6" w:rsidRPr="00327489" w:rsidRDefault="00B345A6" w:rsidP="003D13C7">
            <w:pPr>
              <w:jc w:val="both"/>
              <w:rPr>
                <w:sz w:val="24"/>
                <w:szCs w:val="24"/>
              </w:rPr>
            </w:pPr>
          </w:p>
        </w:tc>
        <w:tc>
          <w:tcPr>
            <w:tcW w:w="7280" w:type="dxa"/>
            <w:gridSpan w:val="5"/>
          </w:tcPr>
          <w:p w:rsidR="00B345A6" w:rsidRPr="00327489" w:rsidRDefault="00B345A6" w:rsidP="003D13C7">
            <w:pPr>
              <w:jc w:val="both"/>
              <w:rPr>
                <w:sz w:val="24"/>
                <w:szCs w:val="24"/>
              </w:rPr>
            </w:pPr>
            <w:r w:rsidRPr="00327489">
              <w:rPr>
                <w:sz w:val="24"/>
                <w:szCs w:val="24"/>
              </w:rPr>
              <w:t xml:space="preserve">       Kuzey Kıbrıs Türk Cumhuriyeti Cumhuriyet Meclisi aşağıdaki Yasayı yapar:</w:t>
            </w:r>
          </w:p>
        </w:tc>
      </w:tr>
      <w:tr w:rsidR="00B345A6" w:rsidRPr="00327489">
        <w:tc>
          <w:tcPr>
            <w:tcW w:w="1950" w:type="dxa"/>
          </w:tcPr>
          <w:p w:rsidR="00B345A6" w:rsidRPr="00327489" w:rsidRDefault="00B345A6" w:rsidP="003D13C7">
            <w:pPr>
              <w:jc w:val="both"/>
              <w:rPr>
                <w:sz w:val="24"/>
                <w:szCs w:val="24"/>
              </w:rPr>
            </w:pPr>
          </w:p>
        </w:tc>
        <w:tc>
          <w:tcPr>
            <w:tcW w:w="7280" w:type="dxa"/>
            <w:gridSpan w:val="5"/>
          </w:tcPr>
          <w:p w:rsidR="00B345A6" w:rsidRPr="00327489" w:rsidRDefault="00B345A6" w:rsidP="003D13C7">
            <w:pPr>
              <w:jc w:val="both"/>
              <w:rPr>
                <w:sz w:val="24"/>
                <w:szCs w:val="24"/>
              </w:rPr>
            </w:pPr>
          </w:p>
        </w:tc>
      </w:tr>
      <w:tr w:rsidR="00B345A6" w:rsidRPr="00327489">
        <w:tblPrEx>
          <w:tblLook w:val="00A0"/>
        </w:tblPrEx>
        <w:tc>
          <w:tcPr>
            <w:tcW w:w="1950" w:type="dxa"/>
          </w:tcPr>
          <w:p w:rsidR="00B345A6" w:rsidRDefault="00B345A6">
            <w:pPr>
              <w:rPr>
                <w:sz w:val="24"/>
                <w:szCs w:val="24"/>
              </w:rPr>
            </w:pPr>
            <w:r w:rsidRPr="00327489">
              <w:rPr>
                <w:sz w:val="24"/>
                <w:szCs w:val="24"/>
              </w:rPr>
              <w:t>Kısa İsim</w:t>
            </w:r>
          </w:p>
          <w:p w:rsidR="00B345A6" w:rsidRPr="00327489" w:rsidRDefault="00B345A6">
            <w:pPr>
              <w:rPr>
                <w:sz w:val="24"/>
                <w:szCs w:val="24"/>
              </w:rPr>
            </w:pPr>
            <w:r>
              <w:rPr>
                <w:sz w:val="24"/>
                <w:szCs w:val="24"/>
              </w:rPr>
              <w:t>21/2005</w:t>
            </w:r>
          </w:p>
        </w:tc>
        <w:tc>
          <w:tcPr>
            <w:tcW w:w="7280" w:type="dxa"/>
            <w:gridSpan w:val="5"/>
          </w:tcPr>
          <w:p w:rsidR="00B345A6" w:rsidRPr="00327489" w:rsidRDefault="00B345A6" w:rsidP="003B7B98">
            <w:pPr>
              <w:jc w:val="both"/>
              <w:rPr>
                <w:sz w:val="24"/>
                <w:szCs w:val="24"/>
              </w:rPr>
            </w:pPr>
            <w:r w:rsidRPr="00327489">
              <w:rPr>
                <w:sz w:val="24"/>
                <w:szCs w:val="24"/>
              </w:rPr>
              <w:t>1.</w:t>
            </w:r>
            <w:r>
              <w:rPr>
                <w:sz w:val="24"/>
                <w:szCs w:val="24"/>
              </w:rPr>
              <w:t xml:space="preserve"> </w:t>
            </w:r>
            <w:r w:rsidRPr="00327489">
              <w:rPr>
                <w:sz w:val="24"/>
                <w:szCs w:val="24"/>
              </w:rPr>
              <w:t xml:space="preserve">Bu Yasa, </w:t>
            </w:r>
            <w:r>
              <w:rPr>
                <w:sz w:val="24"/>
                <w:szCs w:val="24"/>
              </w:rPr>
              <w:t>Kıbrıs Türk Mühendis ve Mimar Odaları Birliği (Değişiklik) Yasası olarak isimlendirilir ve aşağıda “Esas Yasa” olarak anılan Kıbrıs Türk Mühendis ve Mimar Odaları Birliği</w:t>
            </w:r>
            <w:r w:rsidRPr="00327489">
              <w:rPr>
                <w:sz w:val="24"/>
                <w:szCs w:val="24"/>
              </w:rPr>
              <w:t xml:space="preserve"> Yasa</w:t>
            </w:r>
            <w:r>
              <w:rPr>
                <w:sz w:val="24"/>
                <w:szCs w:val="24"/>
              </w:rPr>
              <w:t>sı ile birlikte okunur.</w:t>
            </w:r>
          </w:p>
        </w:tc>
      </w:tr>
      <w:tr w:rsidR="00B345A6" w:rsidRPr="00327489">
        <w:tblPrEx>
          <w:tblLook w:val="00A0"/>
        </w:tblPrEx>
        <w:tc>
          <w:tcPr>
            <w:tcW w:w="1950" w:type="dxa"/>
          </w:tcPr>
          <w:p w:rsidR="00B345A6" w:rsidRPr="00327489" w:rsidRDefault="00B345A6">
            <w:pPr>
              <w:rPr>
                <w:sz w:val="24"/>
                <w:szCs w:val="24"/>
              </w:rPr>
            </w:pPr>
          </w:p>
        </w:tc>
        <w:tc>
          <w:tcPr>
            <w:tcW w:w="7280" w:type="dxa"/>
            <w:gridSpan w:val="5"/>
          </w:tcPr>
          <w:p w:rsidR="00B345A6" w:rsidRPr="00327489" w:rsidRDefault="00B345A6" w:rsidP="003B7B98">
            <w:pPr>
              <w:jc w:val="both"/>
              <w:rPr>
                <w:sz w:val="24"/>
                <w:szCs w:val="24"/>
              </w:rPr>
            </w:pPr>
          </w:p>
        </w:tc>
      </w:tr>
      <w:tr w:rsidR="00B345A6" w:rsidRPr="00327489">
        <w:tblPrEx>
          <w:tblLook w:val="00A0"/>
        </w:tblPrEx>
        <w:tc>
          <w:tcPr>
            <w:tcW w:w="1950" w:type="dxa"/>
          </w:tcPr>
          <w:p w:rsidR="00B345A6" w:rsidRPr="00327489" w:rsidRDefault="00B345A6">
            <w:pPr>
              <w:rPr>
                <w:sz w:val="24"/>
                <w:szCs w:val="24"/>
              </w:rPr>
            </w:pPr>
            <w:r>
              <w:rPr>
                <w:sz w:val="24"/>
                <w:szCs w:val="24"/>
              </w:rPr>
              <w:t xml:space="preserve">Esas Yasanın 5’inci Maddesinin </w:t>
            </w:r>
          </w:p>
        </w:tc>
        <w:tc>
          <w:tcPr>
            <w:tcW w:w="7280" w:type="dxa"/>
            <w:gridSpan w:val="5"/>
          </w:tcPr>
          <w:p w:rsidR="00B345A6" w:rsidRPr="00327489" w:rsidRDefault="00B345A6" w:rsidP="003B7B98">
            <w:pPr>
              <w:jc w:val="both"/>
              <w:rPr>
                <w:sz w:val="24"/>
                <w:szCs w:val="24"/>
              </w:rPr>
            </w:pPr>
            <w:r>
              <w:rPr>
                <w:sz w:val="24"/>
                <w:szCs w:val="24"/>
              </w:rPr>
              <w:t>2. Esas Yasa, 5’inci maddesinin (1)’inci fıkrasının (G) bendi kaldırılmak ve yerine aşağıdaki yeni (G) bendi konmak suretiyle değiştirilir:</w:t>
            </w:r>
          </w:p>
        </w:tc>
      </w:tr>
      <w:tr w:rsidR="00B345A6" w:rsidRPr="00327489">
        <w:tblPrEx>
          <w:tblLook w:val="00A0"/>
        </w:tblPrEx>
        <w:tc>
          <w:tcPr>
            <w:tcW w:w="1950" w:type="dxa"/>
          </w:tcPr>
          <w:p w:rsidR="00B345A6" w:rsidRDefault="00B345A6">
            <w:pPr>
              <w:rPr>
                <w:sz w:val="24"/>
                <w:szCs w:val="24"/>
              </w:rPr>
            </w:pPr>
            <w:r>
              <w:rPr>
                <w:sz w:val="24"/>
                <w:szCs w:val="24"/>
              </w:rPr>
              <w:t>Değiştirilmesi</w:t>
            </w:r>
          </w:p>
        </w:tc>
        <w:tc>
          <w:tcPr>
            <w:tcW w:w="496" w:type="dxa"/>
          </w:tcPr>
          <w:p w:rsidR="00B345A6" w:rsidRDefault="00B345A6" w:rsidP="003B7B98">
            <w:pPr>
              <w:jc w:val="both"/>
              <w:rPr>
                <w:sz w:val="24"/>
                <w:szCs w:val="24"/>
              </w:rPr>
            </w:pPr>
          </w:p>
        </w:tc>
        <w:tc>
          <w:tcPr>
            <w:tcW w:w="6784" w:type="dxa"/>
            <w:gridSpan w:val="4"/>
          </w:tcPr>
          <w:p w:rsidR="00B345A6" w:rsidRDefault="00B345A6" w:rsidP="003B7B98">
            <w:pPr>
              <w:jc w:val="both"/>
              <w:rPr>
                <w:sz w:val="24"/>
                <w:szCs w:val="24"/>
              </w:rPr>
            </w:pPr>
            <w:r>
              <w:rPr>
                <w:sz w:val="24"/>
                <w:szCs w:val="24"/>
              </w:rPr>
              <w:t>“(G) Yerbilim Mühendisleri Odası;”</w:t>
            </w:r>
          </w:p>
        </w:tc>
      </w:tr>
      <w:tr w:rsidR="00B345A6" w:rsidRPr="00327489">
        <w:tblPrEx>
          <w:tblLook w:val="00A0"/>
        </w:tblPrEx>
        <w:tc>
          <w:tcPr>
            <w:tcW w:w="1950" w:type="dxa"/>
          </w:tcPr>
          <w:p w:rsidR="00B345A6" w:rsidRDefault="00B345A6">
            <w:pPr>
              <w:rPr>
                <w:sz w:val="24"/>
                <w:szCs w:val="24"/>
              </w:rPr>
            </w:pPr>
          </w:p>
        </w:tc>
        <w:tc>
          <w:tcPr>
            <w:tcW w:w="7280" w:type="dxa"/>
            <w:gridSpan w:val="5"/>
          </w:tcPr>
          <w:p w:rsidR="00B345A6" w:rsidRDefault="00B345A6" w:rsidP="003B7B98">
            <w:pPr>
              <w:jc w:val="both"/>
              <w:rPr>
                <w:sz w:val="24"/>
                <w:szCs w:val="24"/>
              </w:rPr>
            </w:pPr>
          </w:p>
        </w:tc>
      </w:tr>
      <w:tr w:rsidR="00B345A6" w:rsidRPr="00327489">
        <w:tblPrEx>
          <w:tblLook w:val="00A0"/>
        </w:tblPrEx>
        <w:tc>
          <w:tcPr>
            <w:tcW w:w="1950" w:type="dxa"/>
          </w:tcPr>
          <w:p w:rsidR="00B345A6" w:rsidRPr="00327489" w:rsidRDefault="00B345A6" w:rsidP="003B7B98">
            <w:pPr>
              <w:jc w:val="both"/>
              <w:rPr>
                <w:sz w:val="24"/>
                <w:szCs w:val="24"/>
              </w:rPr>
            </w:pPr>
            <w:r w:rsidRPr="00327489">
              <w:rPr>
                <w:sz w:val="24"/>
                <w:szCs w:val="24"/>
              </w:rPr>
              <w:t>Yürürlüğe</w:t>
            </w:r>
          </w:p>
          <w:p w:rsidR="00B345A6" w:rsidRPr="00327489" w:rsidRDefault="00B345A6" w:rsidP="003B7B98">
            <w:pPr>
              <w:jc w:val="both"/>
              <w:rPr>
                <w:sz w:val="24"/>
                <w:szCs w:val="24"/>
              </w:rPr>
            </w:pPr>
            <w:r w:rsidRPr="00327489">
              <w:rPr>
                <w:sz w:val="24"/>
                <w:szCs w:val="24"/>
              </w:rPr>
              <w:t>Giriş</w:t>
            </w:r>
          </w:p>
        </w:tc>
        <w:tc>
          <w:tcPr>
            <w:tcW w:w="7280" w:type="dxa"/>
            <w:gridSpan w:val="5"/>
          </w:tcPr>
          <w:p w:rsidR="00B345A6" w:rsidRPr="00327489" w:rsidRDefault="00B345A6" w:rsidP="003B7B98">
            <w:pPr>
              <w:jc w:val="both"/>
              <w:rPr>
                <w:sz w:val="24"/>
                <w:szCs w:val="24"/>
              </w:rPr>
            </w:pPr>
            <w:r>
              <w:rPr>
                <w:sz w:val="24"/>
                <w:szCs w:val="24"/>
              </w:rPr>
              <w:t>3</w:t>
            </w:r>
            <w:r w:rsidRPr="00327489">
              <w:rPr>
                <w:sz w:val="24"/>
                <w:szCs w:val="24"/>
              </w:rPr>
              <w:t>.</w:t>
            </w:r>
            <w:r>
              <w:rPr>
                <w:sz w:val="24"/>
                <w:szCs w:val="24"/>
              </w:rPr>
              <w:t xml:space="preserve"> </w:t>
            </w:r>
            <w:r w:rsidRPr="00327489">
              <w:rPr>
                <w:sz w:val="24"/>
                <w:szCs w:val="24"/>
              </w:rPr>
              <w:t xml:space="preserve">Bu Yasa, Resmi Gazete’de yayımlandığı tarihten </w:t>
            </w:r>
            <w:r>
              <w:rPr>
                <w:sz w:val="24"/>
                <w:szCs w:val="24"/>
              </w:rPr>
              <w:t>başlayarak</w:t>
            </w:r>
            <w:r w:rsidRPr="00327489">
              <w:rPr>
                <w:sz w:val="24"/>
                <w:szCs w:val="24"/>
              </w:rPr>
              <w:t xml:space="preserve"> yürürlüğe girer.</w:t>
            </w:r>
          </w:p>
        </w:tc>
      </w:tr>
      <w:tr w:rsidR="00B345A6" w:rsidRPr="00327489">
        <w:tblPrEx>
          <w:tblLook w:val="00A0"/>
        </w:tblPrEx>
        <w:tc>
          <w:tcPr>
            <w:tcW w:w="1950" w:type="dxa"/>
          </w:tcPr>
          <w:p w:rsidR="00B345A6" w:rsidRPr="00327489" w:rsidRDefault="00B345A6" w:rsidP="003B7B98">
            <w:pPr>
              <w:jc w:val="both"/>
              <w:rPr>
                <w:sz w:val="24"/>
                <w:szCs w:val="24"/>
              </w:rPr>
            </w:pPr>
          </w:p>
        </w:tc>
        <w:tc>
          <w:tcPr>
            <w:tcW w:w="496" w:type="dxa"/>
          </w:tcPr>
          <w:p w:rsidR="00B345A6" w:rsidRPr="00327489" w:rsidRDefault="00B345A6" w:rsidP="003B7B98">
            <w:pPr>
              <w:jc w:val="both"/>
              <w:rPr>
                <w:sz w:val="24"/>
                <w:szCs w:val="24"/>
              </w:rPr>
            </w:pPr>
          </w:p>
        </w:tc>
        <w:tc>
          <w:tcPr>
            <w:tcW w:w="616" w:type="dxa"/>
          </w:tcPr>
          <w:p w:rsidR="00B345A6" w:rsidRPr="00327489" w:rsidRDefault="00B345A6" w:rsidP="003B7B98">
            <w:pPr>
              <w:jc w:val="both"/>
              <w:rPr>
                <w:sz w:val="24"/>
                <w:szCs w:val="24"/>
              </w:rPr>
            </w:pPr>
          </w:p>
        </w:tc>
        <w:tc>
          <w:tcPr>
            <w:tcW w:w="3433" w:type="dxa"/>
          </w:tcPr>
          <w:p w:rsidR="00B345A6" w:rsidRPr="00327489" w:rsidRDefault="00B345A6" w:rsidP="003B7B98">
            <w:pPr>
              <w:jc w:val="both"/>
              <w:rPr>
                <w:sz w:val="24"/>
                <w:szCs w:val="24"/>
              </w:rPr>
            </w:pPr>
          </w:p>
        </w:tc>
        <w:tc>
          <w:tcPr>
            <w:tcW w:w="1630" w:type="dxa"/>
          </w:tcPr>
          <w:p w:rsidR="00B345A6" w:rsidRPr="00327489" w:rsidRDefault="00B345A6" w:rsidP="003B7B98">
            <w:pPr>
              <w:jc w:val="both"/>
              <w:rPr>
                <w:sz w:val="24"/>
                <w:szCs w:val="24"/>
              </w:rPr>
            </w:pPr>
          </w:p>
        </w:tc>
        <w:tc>
          <w:tcPr>
            <w:tcW w:w="1105" w:type="dxa"/>
          </w:tcPr>
          <w:p w:rsidR="00B345A6" w:rsidRPr="00327489" w:rsidRDefault="00B345A6" w:rsidP="003B7B98">
            <w:pPr>
              <w:jc w:val="both"/>
              <w:rPr>
                <w:sz w:val="24"/>
                <w:szCs w:val="24"/>
              </w:rPr>
            </w:pPr>
          </w:p>
        </w:tc>
      </w:tr>
    </w:tbl>
    <w:p w:rsidR="00B345A6" w:rsidRPr="00327489" w:rsidRDefault="00B345A6">
      <w:pPr>
        <w:rPr>
          <w:sz w:val="24"/>
          <w:szCs w:val="24"/>
        </w:rPr>
      </w:pPr>
    </w:p>
    <w:p w:rsidR="00B345A6" w:rsidRPr="00327489" w:rsidRDefault="00B345A6">
      <w:pPr>
        <w:rPr>
          <w:sz w:val="24"/>
          <w:szCs w:val="24"/>
        </w:rPr>
      </w:pPr>
    </w:p>
    <w:sectPr w:rsidR="00B345A6" w:rsidRPr="00327489" w:rsidSect="00327489">
      <w:footerReference w:type="default" r:id="rId6"/>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A6" w:rsidRDefault="00B345A6">
      <w:r>
        <w:separator/>
      </w:r>
    </w:p>
  </w:endnote>
  <w:endnote w:type="continuationSeparator" w:id="1">
    <w:p w:rsidR="00B345A6" w:rsidRDefault="00B34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A6" w:rsidRDefault="00B345A6" w:rsidP="00D32AB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45A6" w:rsidRDefault="00B34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A6" w:rsidRDefault="00B345A6">
      <w:r>
        <w:separator/>
      </w:r>
    </w:p>
  </w:footnote>
  <w:footnote w:type="continuationSeparator" w:id="1">
    <w:p w:rsidR="00B345A6" w:rsidRDefault="00B34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3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FEC"/>
    <w:rsid w:val="0001187C"/>
    <w:rsid w:val="00016DD3"/>
    <w:rsid w:val="000209C7"/>
    <w:rsid w:val="00054F99"/>
    <w:rsid w:val="00075DA8"/>
    <w:rsid w:val="000874BC"/>
    <w:rsid w:val="000A5EB0"/>
    <w:rsid w:val="000E33E2"/>
    <w:rsid w:val="00105C1F"/>
    <w:rsid w:val="00122CF4"/>
    <w:rsid w:val="00131596"/>
    <w:rsid w:val="001426C0"/>
    <w:rsid w:val="00144332"/>
    <w:rsid w:val="0015233B"/>
    <w:rsid w:val="001529D7"/>
    <w:rsid w:val="00165B57"/>
    <w:rsid w:val="001977A9"/>
    <w:rsid w:val="001B1D98"/>
    <w:rsid w:val="001D0C1A"/>
    <w:rsid w:val="001D32CB"/>
    <w:rsid w:val="001E50FB"/>
    <w:rsid w:val="00231027"/>
    <w:rsid w:val="002468DD"/>
    <w:rsid w:val="0025009F"/>
    <w:rsid w:val="00261DAA"/>
    <w:rsid w:val="00275D6C"/>
    <w:rsid w:val="002900BB"/>
    <w:rsid w:val="002A7324"/>
    <w:rsid w:val="002B2575"/>
    <w:rsid w:val="002F35B0"/>
    <w:rsid w:val="00302507"/>
    <w:rsid w:val="0031457C"/>
    <w:rsid w:val="00327489"/>
    <w:rsid w:val="00327973"/>
    <w:rsid w:val="00332994"/>
    <w:rsid w:val="00354BC1"/>
    <w:rsid w:val="00366A81"/>
    <w:rsid w:val="003749C4"/>
    <w:rsid w:val="0037689D"/>
    <w:rsid w:val="003B13DE"/>
    <w:rsid w:val="003B37C6"/>
    <w:rsid w:val="003B7B98"/>
    <w:rsid w:val="003C288F"/>
    <w:rsid w:val="003D13C7"/>
    <w:rsid w:val="003D3254"/>
    <w:rsid w:val="00415A78"/>
    <w:rsid w:val="00425F95"/>
    <w:rsid w:val="00444060"/>
    <w:rsid w:val="00472877"/>
    <w:rsid w:val="00474179"/>
    <w:rsid w:val="005026BF"/>
    <w:rsid w:val="0051351D"/>
    <w:rsid w:val="00551318"/>
    <w:rsid w:val="00620EA7"/>
    <w:rsid w:val="00626F24"/>
    <w:rsid w:val="0063051A"/>
    <w:rsid w:val="00634D89"/>
    <w:rsid w:val="00654EFB"/>
    <w:rsid w:val="0065511A"/>
    <w:rsid w:val="0068506C"/>
    <w:rsid w:val="006C3345"/>
    <w:rsid w:val="006D5544"/>
    <w:rsid w:val="0074087E"/>
    <w:rsid w:val="00756D67"/>
    <w:rsid w:val="007837CF"/>
    <w:rsid w:val="00793A7C"/>
    <w:rsid w:val="007D543A"/>
    <w:rsid w:val="007D5C3C"/>
    <w:rsid w:val="008052E9"/>
    <w:rsid w:val="00816BB6"/>
    <w:rsid w:val="0083661B"/>
    <w:rsid w:val="00850A27"/>
    <w:rsid w:val="00864210"/>
    <w:rsid w:val="00866454"/>
    <w:rsid w:val="008857DD"/>
    <w:rsid w:val="008C7749"/>
    <w:rsid w:val="008F533C"/>
    <w:rsid w:val="00901BF4"/>
    <w:rsid w:val="00913863"/>
    <w:rsid w:val="00976C2E"/>
    <w:rsid w:val="00986584"/>
    <w:rsid w:val="009D7FD8"/>
    <w:rsid w:val="00A10A42"/>
    <w:rsid w:val="00A13D9F"/>
    <w:rsid w:val="00A520F2"/>
    <w:rsid w:val="00A64CEA"/>
    <w:rsid w:val="00A930F6"/>
    <w:rsid w:val="00AA1005"/>
    <w:rsid w:val="00AC0326"/>
    <w:rsid w:val="00AD37A9"/>
    <w:rsid w:val="00AF665A"/>
    <w:rsid w:val="00B2261F"/>
    <w:rsid w:val="00B345A6"/>
    <w:rsid w:val="00B43ADE"/>
    <w:rsid w:val="00B7348A"/>
    <w:rsid w:val="00B94A27"/>
    <w:rsid w:val="00BE6B7A"/>
    <w:rsid w:val="00C14020"/>
    <w:rsid w:val="00C43EE3"/>
    <w:rsid w:val="00C552A8"/>
    <w:rsid w:val="00CD13B7"/>
    <w:rsid w:val="00D018CB"/>
    <w:rsid w:val="00D152A1"/>
    <w:rsid w:val="00D23760"/>
    <w:rsid w:val="00D32AB1"/>
    <w:rsid w:val="00D34913"/>
    <w:rsid w:val="00D527EC"/>
    <w:rsid w:val="00D620CC"/>
    <w:rsid w:val="00D65CE4"/>
    <w:rsid w:val="00D7369C"/>
    <w:rsid w:val="00D977D8"/>
    <w:rsid w:val="00DA3023"/>
    <w:rsid w:val="00DC2BA5"/>
    <w:rsid w:val="00DE1342"/>
    <w:rsid w:val="00DF0126"/>
    <w:rsid w:val="00DF2AE8"/>
    <w:rsid w:val="00E120EA"/>
    <w:rsid w:val="00E411EF"/>
    <w:rsid w:val="00E4419E"/>
    <w:rsid w:val="00E475BF"/>
    <w:rsid w:val="00E57DB0"/>
    <w:rsid w:val="00E67FEC"/>
    <w:rsid w:val="00EA0FC4"/>
    <w:rsid w:val="00EA489A"/>
    <w:rsid w:val="00EF7612"/>
    <w:rsid w:val="00F028AA"/>
    <w:rsid w:val="00F12151"/>
    <w:rsid w:val="00F12C7D"/>
    <w:rsid w:val="00F16AD0"/>
    <w:rsid w:val="00F16F43"/>
    <w:rsid w:val="00F27F62"/>
    <w:rsid w:val="00F42908"/>
    <w:rsid w:val="00F53353"/>
    <w:rsid w:val="00F638C4"/>
    <w:rsid w:val="00FA2C3E"/>
    <w:rsid w:val="00FB41FD"/>
    <w:rsid w:val="00FE48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3B"/>
    <w:rPr>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7F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27489"/>
    <w:pPr>
      <w:tabs>
        <w:tab w:val="center" w:pos="4536"/>
        <w:tab w:val="right" w:pos="9072"/>
      </w:tabs>
    </w:pPr>
  </w:style>
  <w:style w:type="character" w:customStyle="1" w:styleId="FooterChar">
    <w:name w:val="Footer Char"/>
    <w:basedOn w:val="DefaultParagraphFont"/>
    <w:link w:val="Footer"/>
    <w:uiPriority w:val="99"/>
    <w:semiHidden/>
    <w:locked/>
    <w:rsid w:val="00E475BF"/>
    <w:rPr>
      <w:sz w:val="26"/>
      <w:szCs w:val="26"/>
      <w:lang w:eastAsia="en-US"/>
    </w:rPr>
  </w:style>
  <w:style w:type="character" w:styleId="PageNumber">
    <w:name w:val="page number"/>
    <w:basedOn w:val="DefaultParagraphFont"/>
    <w:uiPriority w:val="99"/>
    <w:rsid w:val="00327489"/>
  </w:style>
  <w:style w:type="paragraph" w:styleId="BalloonText">
    <w:name w:val="Balloon Text"/>
    <w:basedOn w:val="Normal"/>
    <w:link w:val="BalloonTextChar"/>
    <w:uiPriority w:val="99"/>
    <w:semiHidden/>
    <w:rsid w:val="002B25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179"/>
    <w:rPr>
      <w:sz w:val="2"/>
      <w:szCs w:val="2"/>
      <w:lang w:eastAsia="en-US"/>
    </w:rPr>
  </w:style>
</w:styles>
</file>

<file path=word/webSettings.xml><?xml version="1.0" encoding="utf-8"?>
<w:webSettings xmlns:r="http://schemas.openxmlformats.org/officeDocument/2006/relationships" xmlns:w="http://schemas.openxmlformats.org/wordprocessingml/2006/main">
  <w:divs>
    <w:div w:id="1083187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163</Words>
  <Characters>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UÇUCU MADDELERİN ZARARLARINDAN İNSAN SAĞLIĞININ KORUNMASINA DAİR YASA TASARISI’NIN GENEL GEREKÇESİ</dc:title>
  <dc:subject/>
  <dc:creator>sc</dc:creator>
  <cp:keywords/>
  <dc:description/>
  <cp:lastModifiedBy>sinem.demirgil</cp:lastModifiedBy>
  <cp:revision>3</cp:revision>
  <cp:lastPrinted>2015-10-30T09:12:00Z</cp:lastPrinted>
  <dcterms:created xsi:type="dcterms:W3CDTF">2015-11-24T12:14:00Z</dcterms:created>
  <dcterms:modified xsi:type="dcterms:W3CDTF">2015-11-24T12:15:00Z</dcterms:modified>
</cp:coreProperties>
</file>