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21"/>
        <w:gridCol w:w="56"/>
        <w:gridCol w:w="544"/>
        <w:gridCol w:w="525"/>
        <w:gridCol w:w="656"/>
        <w:gridCol w:w="6049"/>
      </w:tblGrid>
      <w:tr w:rsidR="00C91F0F" w:rsidRPr="005038CA" w:rsidTr="00162976"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14F" w:rsidRDefault="00B8314F" w:rsidP="00B83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Kuzey Kıbrıs Türk Cumhuriyeti Cumhuriyet Meclisi’nin 22 Mayıs 2023 tarihli Elliüçüncü Birleşiminde Oybirliğiyle kabul olunan “</w:t>
            </w:r>
            <w:r>
              <w:rPr>
                <w:sz w:val="24"/>
                <w:szCs w:val="24"/>
              </w:rPr>
              <w:t>Motorlu Araçlarla Yolcu ve Eşya Taşınması (Denetim) (Değişiklik) Yasası</w:t>
            </w:r>
            <w:r>
              <w:rPr>
                <w:sz w:val="24"/>
                <w:szCs w:val="24"/>
              </w:rPr>
              <w:t>” Anayasanm 94’üncü maddesinin (l)’inci fıkrası gereğince Kuzey Kıbrıs Türk Cumhuriyeti Cumhurbaşkanı tarafından Resmi Gazete’de yayımlanmak suretiyle ilan olunur.</w:t>
            </w:r>
            <w:bookmarkStart w:id="0" w:name="_GoBack"/>
            <w:bookmarkEnd w:id="0"/>
          </w:p>
          <w:p w:rsidR="00B8314F" w:rsidRDefault="00B8314F" w:rsidP="00B8314F">
            <w:pPr>
              <w:jc w:val="both"/>
              <w:rPr>
                <w:sz w:val="24"/>
                <w:szCs w:val="24"/>
              </w:rPr>
            </w:pPr>
          </w:p>
          <w:p w:rsidR="00C91F0F" w:rsidRPr="005038CA" w:rsidRDefault="00B8314F" w:rsidP="00B83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tr-TR"/>
              </w:rPr>
              <w:t>Sayı : 2</w:t>
            </w:r>
            <w:r>
              <w:rPr>
                <w:sz w:val="24"/>
                <w:szCs w:val="24"/>
                <w:lang w:eastAsia="tr-TR"/>
              </w:rPr>
              <w:t>6</w:t>
            </w:r>
            <w:r>
              <w:rPr>
                <w:sz w:val="24"/>
                <w:szCs w:val="24"/>
                <w:lang w:eastAsia="tr-TR"/>
              </w:rPr>
              <w:t>/2023</w:t>
            </w:r>
          </w:p>
        </w:tc>
      </w:tr>
      <w:tr w:rsidR="00B8314F" w:rsidRPr="005038CA" w:rsidTr="00162976"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14F" w:rsidRPr="005038CA" w:rsidRDefault="00B8314F" w:rsidP="00B8314F">
            <w:pPr>
              <w:rPr>
                <w:sz w:val="24"/>
                <w:szCs w:val="24"/>
              </w:rPr>
            </w:pPr>
          </w:p>
        </w:tc>
      </w:tr>
      <w:tr w:rsidR="00DD0AC3" w:rsidRPr="005038CA" w:rsidTr="00162976"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14F" w:rsidRDefault="00B8314F" w:rsidP="00B8314F">
            <w:pPr>
              <w:jc w:val="center"/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MOTORLU ARAÇLARLA YOLCU VE EŞYA TAŞINMA</w:t>
            </w:r>
            <w:r>
              <w:rPr>
                <w:sz w:val="24"/>
                <w:szCs w:val="24"/>
              </w:rPr>
              <w:t>SI  (DENETİM)</w:t>
            </w:r>
          </w:p>
          <w:p w:rsidR="00DD0AC3" w:rsidRPr="005038CA" w:rsidRDefault="00B8314F" w:rsidP="00B83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(DEĞİŞİKLİK) YASASI</w:t>
            </w:r>
          </w:p>
        </w:tc>
      </w:tr>
      <w:tr w:rsidR="00B8314F" w:rsidRPr="005038CA" w:rsidTr="00162976"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14F" w:rsidRPr="005038CA" w:rsidRDefault="00B8314F" w:rsidP="00B8314F">
            <w:pPr>
              <w:jc w:val="center"/>
              <w:rPr>
                <w:sz w:val="24"/>
                <w:szCs w:val="24"/>
              </w:rPr>
            </w:pPr>
          </w:p>
        </w:tc>
      </w:tr>
      <w:tr w:rsidR="00A00318" w:rsidRPr="005038CA" w:rsidTr="00A00318"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00318" w:rsidRPr="005038CA" w:rsidRDefault="00A00318" w:rsidP="001465E7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318" w:rsidRPr="005038CA" w:rsidRDefault="00A00318" w:rsidP="00A003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038CA">
              <w:rPr>
                <w:sz w:val="24"/>
                <w:szCs w:val="24"/>
              </w:rPr>
              <w:t xml:space="preserve">   Kuzey Kıbrıs Türk Cumhuriyeti Cumhuriyet Meclisi aşağıdaki Yasayı yapar:</w:t>
            </w:r>
          </w:p>
        </w:tc>
      </w:tr>
      <w:tr w:rsidR="00A00318" w:rsidRPr="005038CA" w:rsidTr="00A00318"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00318" w:rsidRPr="005038CA" w:rsidRDefault="00A00318" w:rsidP="001465E7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318" w:rsidRDefault="00A00318" w:rsidP="00A003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465E7" w:rsidRPr="005038CA" w:rsidTr="00162976">
        <w:trPr>
          <w:trHeight w:val="2297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E7" w:rsidRPr="005038CA" w:rsidRDefault="001465E7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Kısa İsim </w:t>
            </w:r>
          </w:p>
          <w:p w:rsidR="001465E7" w:rsidRPr="005038CA" w:rsidRDefault="001465E7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50/2000</w:t>
            </w:r>
          </w:p>
          <w:p w:rsidR="001465E7" w:rsidRPr="005038CA" w:rsidRDefault="001465E7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    9/2001</w:t>
            </w:r>
          </w:p>
          <w:p w:rsidR="001465E7" w:rsidRPr="005038CA" w:rsidRDefault="001465E7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  51/2005</w:t>
            </w:r>
          </w:p>
          <w:p w:rsidR="001465E7" w:rsidRPr="005038CA" w:rsidRDefault="001465E7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  10/2007</w:t>
            </w:r>
          </w:p>
          <w:p w:rsidR="001465E7" w:rsidRPr="005038CA" w:rsidRDefault="001465E7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  43/2010</w:t>
            </w:r>
          </w:p>
          <w:p w:rsidR="007A7FBA" w:rsidRPr="005038CA" w:rsidRDefault="001465E7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  20/2012</w:t>
            </w:r>
          </w:p>
          <w:p w:rsidR="001465E7" w:rsidRPr="005038CA" w:rsidRDefault="001B4854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 </w:t>
            </w:r>
            <w:r w:rsidR="007A7FBA" w:rsidRPr="005038CA">
              <w:rPr>
                <w:sz w:val="24"/>
                <w:szCs w:val="24"/>
              </w:rPr>
              <w:t xml:space="preserve"> </w:t>
            </w:r>
            <w:r w:rsidR="001465E7" w:rsidRPr="005038CA">
              <w:rPr>
                <w:sz w:val="24"/>
                <w:szCs w:val="24"/>
              </w:rPr>
              <w:t>14/2014</w:t>
            </w:r>
          </w:p>
          <w:p w:rsidR="001465E7" w:rsidRPr="005038CA" w:rsidRDefault="001B4854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 </w:t>
            </w:r>
            <w:r w:rsidR="007A7FBA" w:rsidRPr="005038CA">
              <w:rPr>
                <w:sz w:val="24"/>
                <w:szCs w:val="24"/>
              </w:rPr>
              <w:t xml:space="preserve"> </w:t>
            </w:r>
            <w:r w:rsidR="001465E7" w:rsidRPr="005038CA">
              <w:rPr>
                <w:sz w:val="24"/>
                <w:szCs w:val="24"/>
              </w:rPr>
              <w:t>57/2017</w:t>
            </w:r>
          </w:p>
          <w:p w:rsidR="001465E7" w:rsidRPr="005038CA" w:rsidRDefault="001465E7" w:rsidP="001465E7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5E7" w:rsidRPr="005038CA" w:rsidRDefault="001465E7" w:rsidP="001465E7">
            <w:pPr>
              <w:jc w:val="both"/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1. Bu Yasa, Motorlu Araçlarla Yolcu ve Eşya Taşınması (Denetim) Yasası olarak isimlendirilir ve aşağıda “Esas Yasa</w:t>
            </w:r>
            <w:r w:rsidR="0023398E">
              <w:rPr>
                <w:sz w:val="24"/>
                <w:szCs w:val="24"/>
              </w:rPr>
              <w:t>” olarak</w:t>
            </w:r>
            <w:r w:rsidRPr="005038CA">
              <w:rPr>
                <w:sz w:val="24"/>
                <w:szCs w:val="24"/>
              </w:rPr>
              <w:t xml:space="preserve"> anılan, Motorlu Araçlarla Yolcu ve Eşya Taşınması (Denetim)</w:t>
            </w:r>
            <w:r w:rsidR="0023398E">
              <w:rPr>
                <w:sz w:val="24"/>
                <w:szCs w:val="24"/>
              </w:rPr>
              <w:t xml:space="preserve"> (Değişiklik) </w:t>
            </w:r>
            <w:r w:rsidRPr="005038CA">
              <w:rPr>
                <w:sz w:val="24"/>
                <w:szCs w:val="24"/>
              </w:rPr>
              <w:t>Yasası ile birlikte okunur.</w:t>
            </w:r>
          </w:p>
        </w:tc>
      </w:tr>
      <w:tr w:rsidR="008E4F6C" w:rsidRPr="005038CA" w:rsidTr="00162976"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A00318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Esas Yasanın 18’inci Maddesinin</w:t>
            </w:r>
            <w:r w:rsidR="00A00318">
              <w:rPr>
                <w:sz w:val="24"/>
                <w:szCs w:val="24"/>
              </w:rPr>
              <w:t xml:space="preserve"> </w:t>
            </w:r>
            <w:r w:rsidRPr="005038CA">
              <w:rPr>
                <w:sz w:val="24"/>
                <w:szCs w:val="24"/>
              </w:rPr>
              <w:t>Değiştirilmesi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384F54" w:rsidP="008E4F6C">
            <w:pPr>
              <w:jc w:val="both"/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(1)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23398E" w:rsidP="00A00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Esas Yasa</w:t>
            </w:r>
            <w:r w:rsidR="008E4F6C" w:rsidRPr="005038CA">
              <w:rPr>
                <w:sz w:val="24"/>
                <w:szCs w:val="24"/>
              </w:rPr>
              <w:t>, 18’inci maddesinin (7)’nci fıkrasının (A)</w:t>
            </w:r>
            <w:r w:rsidR="00A00318">
              <w:rPr>
                <w:sz w:val="24"/>
                <w:szCs w:val="24"/>
              </w:rPr>
              <w:t xml:space="preserve"> ve (B) bentleri</w:t>
            </w:r>
            <w:r w:rsidR="008E4F6C" w:rsidRPr="005038CA">
              <w:rPr>
                <w:sz w:val="24"/>
                <w:szCs w:val="24"/>
              </w:rPr>
              <w:t xml:space="preserve"> kaldırılmak ve yerine </w:t>
            </w:r>
            <w:r w:rsidR="00A00318">
              <w:rPr>
                <w:sz w:val="24"/>
                <w:szCs w:val="24"/>
              </w:rPr>
              <w:t xml:space="preserve">sırasıyla </w:t>
            </w:r>
            <w:r w:rsidR="008E4F6C" w:rsidRPr="005038CA">
              <w:rPr>
                <w:sz w:val="24"/>
                <w:szCs w:val="24"/>
              </w:rPr>
              <w:t>aşağıdaki yeni (A)</w:t>
            </w:r>
            <w:r w:rsidR="00A00318">
              <w:rPr>
                <w:sz w:val="24"/>
                <w:szCs w:val="24"/>
              </w:rPr>
              <w:t xml:space="preserve"> ve (B) bentleri </w:t>
            </w:r>
            <w:r w:rsidR="008E4F6C" w:rsidRPr="005038CA">
              <w:rPr>
                <w:sz w:val="24"/>
                <w:szCs w:val="24"/>
              </w:rPr>
              <w:t>konmak suretiyle değiştirilir:</w:t>
            </w:r>
          </w:p>
        </w:tc>
      </w:tr>
      <w:tr w:rsidR="008E4F6C" w:rsidRPr="005038CA" w:rsidTr="00162976"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1465E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1465E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8E4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1465E7">
            <w:pPr>
              <w:jc w:val="both"/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“(A)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906CF2" w:rsidP="00955003">
            <w:pPr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5038CA">
              <w:rPr>
                <w:noProof/>
                <w:sz w:val="24"/>
                <w:szCs w:val="24"/>
              </w:rPr>
              <w:t>İzin Kurulunca “Z</w:t>
            </w:r>
            <w:r w:rsidR="0023398E">
              <w:rPr>
                <w:noProof/>
                <w:sz w:val="24"/>
                <w:szCs w:val="24"/>
              </w:rPr>
              <w:t>”</w:t>
            </w:r>
            <w:r w:rsidR="00A00318">
              <w:rPr>
                <w:noProof/>
                <w:sz w:val="24"/>
                <w:szCs w:val="24"/>
              </w:rPr>
              <w:t xml:space="preserve"> Kiralık Motorlu Araç İşletme İ</w:t>
            </w:r>
            <w:r w:rsidR="008E4F6C" w:rsidRPr="005038CA">
              <w:rPr>
                <w:noProof/>
                <w:sz w:val="24"/>
                <w:szCs w:val="24"/>
              </w:rPr>
              <w:t xml:space="preserve">zni verilmesi </w:t>
            </w:r>
            <w:r w:rsidR="008E4F6C" w:rsidRPr="005038CA">
              <w:rPr>
                <w:spacing w:val="-5"/>
                <w:sz w:val="24"/>
                <w:szCs w:val="24"/>
              </w:rPr>
              <w:t xml:space="preserve">onaylanan gerçek veya tüzel kişiler, verilen izin adedi kadar aracı, bir </w:t>
            </w:r>
            <w:r w:rsidR="008E4F6C" w:rsidRPr="005038CA">
              <w:rPr>
                <w:spacing w:val="-4"/>
                <w:sz w:val="24"/>
                <w:szCs w:val="24"/>
              </w:rPr>
              <w:t xml:space="preserve">yıl içerisinde gerekli işlemlerini tamamlayıp devreye koymakla </w:t>
            </w:r>
            <w:r w:rsidR="0023398E">
              <w:rPr>
                <w:sz w:val="24"/>
                <w:szCs w:val="24"/>
              </w:rPr>
              <w:t>yükümlüdür. B</w:t>
            </w:r>
            <w:r w:rsidR="008E4F6C" w:rsidRPr="005038CA">
              <w:rPr>
                <w:sz w:val="24"/>
                <w:szCs w:val="24"/>
              </w:rPr>
              <w:t>u süre zarfında</w:t>
            </w:r>
            <w:r w:rsidR="0023398E">
              <w:rPr>
                <w:sz w:val="24"/>
                <w:szCs w:val="24"/>
              </w:rPr>
              <w:t>,</w:t>
            </w:r>
            <w:r w:rsidR="008E4F6C" w:rsidRPr="005038CA">
              <w:rPr>
                <w:sz w:val="24"/>
                <w:szCs w:val="24"/>
              </w:rPr>
              <w:t xml:space="preserve"> verilen izin adedi kadar aracın </w:t>
            </w:r>
            <w:r w:rsidR="008E4F6C" w:rsidRPr="005038CA">
              <w:rPr>
                <w:spacing w:val="-6"/>
                <w:sz w:val="24"/>
                <w:szCs w:val="24"/>
              </w:rPr>
              <w:t xml:space="preserve">devreye konmaması halinde, İzin Kuruluna gerekçeli yazılı başvuru yapılması ve onay alınması halinde birer yıl olmak üzere </w:t>
            </w:r>
            <w:r w:rsidR="00AC41FF" w:rsidRPr="00A53385">
              <w:rPr>
                <w:spacing w:val="-6"/>
                <w:sz w:val="24"/>
                <w:szCs w:val="24"/>
              </w:rPr>
              <w:t>bu süre</w:t>
            </w:r>
            <w:r w:rsidR="00AC41FF" w:rsidRPr="005038CA">
              <w:rPr>
                <w:spacing w:val="-6"/>
                <w:sz w:val="24"/>
                <w:szCs w:val="24"/>
              </w:rPr>
              <w:t xml:space="preserve"> </w:t>
            </w:r>
            <w:r w:rsidR="008E4F6C" w:rsidRPr="005038CA">
              <w:rPr>
                <w:spacing w:val="-6"/>
                <w:sz w:val="24"/>
                <w:szCs w:val="24"/>
              </w:rPr>
              <w:t xml:space="preserve">en çok iki yıl daha uzatılır. Üç yılın sonunda verilen izinlerin tamamlanmaması halinde, verilen bu izinler, İzin Kurulu kararı ile </w:t>
            </w:r>
            <w:r w:rsidR="0023398E">
              <w:rPr>
                <w:spacing w:val="-7"/>
                <w:sz w:val="24"/>
                <w:szCs w:val="24"/>
              </w:rPr>
              <w:t>iptal edilir</w:t>
            </w:r>
            <w:r w:rsidR="008E4F6C" w:rsidRPr="005038CA">
              <w:rPr>
                <w:spacing w:val="-7"/>
                <w:sz w:val="24"/>
                <w:szCs w:val="24"/>
              </w:rPr>
              <w:t xml:space="preserve">. </w:t>
            </w:r>
            <w:r w:rsidR="00956DFB" w:rsidRPr="005038CA">
              <w:rPr>
                <w:spacing w:val="-7"/>
                <w:sz w:val="24"/>
                <w:szCs w:val="24"/>
              </w:rPr>
              <w:t>Geriye kalan izin sayısı on</w:t>
            </w:r>
            <w:r w:rsidR="00AC41FF" w:rsidRPr="005038CA">
              <w:rPr>
                <w:spacing w:val="-7"/>
                <w:sz w:val="24"/>
                <w:szCs w:val="24"/>
              </w:rPr>
              <w:t xml:space="preserve"> araçtan az ise tüm izinler</w:t>
            </w:r>
            <w:r w:rsidR="00955003" w:rsidRPr="005038CA">
              <w:rPr>
                <w:spacing w:val="-7"/>
                <w:sz w:val="24"/>
                <w:szCs w:val="24"/>
              </w:rPr>
              <w:t xml:space="preserve"> İzin Kurulu kararı ile </w:t>
            </w:r>
            <w:r w:rsidR="00AC41FF" w:rsidRPr="005038CA">
              <w:rPr>
                <w:spacing w:val="-7"/>
                <w:sz w:val="24"/>
                <w:szCs w:val="24"/>
              </w:rPr>
              <w:t xml:space="preserve">iptal edilir. </w:t>
            </w:r>
            <w:r w:rsidR="00A00318">
              <w:rPr>
                <w:spacing w:val="-7"/>
                <w:sz w:val="24"/>
                <w:szCs w:val="24"/>
              </w:rPr>
              <w:t>Herhangi bir “Z” kiralık motorlu a</w:t>
            </w:r>
            <w:r w:rsidR="008E4F6C" w:rsidRPr="005038CA">
              <w:rPr>
                <w:spacing w:val="-7"/>
                <w:sz w:val="24"/>
                <w:szCs w:val="24"/>
              </w:rPr>
              <w:t xml:space="preserve">racın herhangi bir </w:t>
            </w:r>
            <w:r w:rsidR="008E4F6C" w:rsidRPr="005038CA">
              <w:rPr>
                <w:spacing w:val="-2"/>
                <w:sz w:val="24"/>
                <w:szCs w:val="24"/>
              </w:rPr>
              <w:t xml:space="preserve">şekilde bir başka şahsa devredilmesi halinde ve yine “Z” Kiralık </w:t>
            </w:r>
            <w:r w:rsidR="00A00318">
              <w:rPr>
                <w:spacing w:val="-4"/>
                <w:sz w:val="24"/>
                <w:szCs w:val="24"/>
              </w:rPr>
              <w:t>Motorlu Araç İ</w:t>
            </w:r>
            <w:r w:rsidR="008E4F6C" w:rsidRPr="005038CA">
              <w:rPr>
                <w:spacing w:val="-4"/>
                <w:sz w:val="24"/>
                <w:szCs w:val="24"/>
              </w:rPr>
              <w:t xml:space="preserve">zin sahibi işletmecisi izinli aracını kaza sonucu </w:t>
            </w:r>
            <w:r w:rsidR="008E4F6C" w:rsidRPr="005038CA">
              <w:rPr>
                <w:spacing w:val="-5"/>
                <w:sz w:val="24"/>
                <w:szCs w:val="24"/>
              </w:rPr>
              <w:t xml:space="preserve">kullanılmaz hale gelmesi veya kendi rızası doğrultusunda izinden </w:t>
            </w:r>
            <w:r w:rsidR="008E4F6C" w:rsidRPr="005038CA">
              <w:rPr>
                <w:spacing w:val="-7"/>
                <w:sz w:val="24"/>
                <w:szCs w:val="24"/>
              </w:rPr>
              <w:t>çıka</w:t>
            </w:r>
            <w:r w:rsidR="00956DFB" w:rsidRPr="005038CA">
              <w:rPr>
                <w:spacing w:val="-7"/>
                <w:sz w:val="24"/>
                <w:szCs w:val="24"/>
              </w:rPr>
              <w:t>rtılmasını istemesi hallerinde,</w:t>
            </w:r>
            <w:r w:rsidR="00953515" w:rsidRPr="005038CA">
              <w:rPr>
                <w:b/>
                <w:spacing w:val="-7"/>
                <w:sz w:val="24"/>
                <w:szCs w:val="24"/>
              </w:rPr>
              <w:t xml:space="preserve"> </w:t>
            </w:r>
            <w:r w:rsidR="00956DFB" w:rsidRPr="005038CA">
              <w:rPr>
                <w:spacing w:val="-7"/>
                <w:sz w:val="24"/>
                <w:szCs w:val="24"/>
              </w:rPr>
              <w:t>on beş</w:t>
            </w:r>
            <w:r w:rsidR="00AB5277" w:rsidRPr="005038CA">
              <w:rPr>
                <w:spacing w:val="-7"/>
                <w:sz w:val="24"/>
                <w:szCs w:val="24"/>
              </w:rPr>
              <w:t xml:space="preserve"> gün içerisinde</w:t>
            </w:r>
            <w:r w:rsidR="00B53831" w:rsidRPr="005038CA">
              <w:rPr>
                <w:spacing w:val="-7"/>
                <w:sz w:val="24"/>
                <w:szCs w:val="24"/>
              </w:rPr>
              <w:t xml:space="preserve">, </w:t>
            </w:r>
            <w:r w:rsidR="008E4F6C" w:rsidRPr="005038CA">
              <w:rPr>
                <w:spacing w:val="-7"/>
                <w:sz w:val="24"/>
                <w:szCs w:val="24"/>
              </w:rPr>
              <w:t xml:space="preserve">İzin </w:t>
            </w:r>
            <w:r w:rsidR="008E4F6C" w:rsidRPr="005038CA">
              <w:rPr>
                <w:spacing w:val="-8"/>
                <w:sz w:val="24"/>
                <w:szCs w:val="24"/>
              </w:rPr>
              <w:t xml:space="preserve">Kuruluna başvurup aracın kaydının izin belgesinden silinmesini ve </w:t>
            </w:r>
            <w:r w:rsidR="008E4F6C" w:rsidRPr="005038CA">
              <w:rPr>
                <w:spacing w:val="-9"/>
                <w:sz w:val="24"/>
                <w:szCs w:val="24"/>
              </w:rPr>
              <w:t xml:space="preserve">aracın kiralık sınıfından çıkartılmasını sağlamakla yükümlüdür. </w:t>
            </w:r>
            <w:r w:rsidR="008E4F6C" w:rsidRPr="005038CA">
              <w:rPr>
                <w:spacing w:val="-8"/>
                <w:sz w:val="24"/>
                <w:szCs w:val="24"/>
              </w:rPr>
              <w:t xml:space="preserve">İşletmeci, boşta kalan izninin yerine, bir yıl içerisinde benzer nitelikte </w:t>
            </w:r>
            <w:r w:rsidR="008E4F6C" w:rsidRPr="005038CA">
              <w:rPr>
                <w:spacing w:val="-10"/>
                <w:sz w:val="24"/>
                <w:szCs w:val="24"/>
              </w:rPr>
              <w:t>başka bir aracın, izin belgesine eklenmesi için başvuruda bulunabilir. Aksi takdirde bu izin, mevcut izin sayısından düşülür.</w:t>
            </w:r>
            <w:r w:rsidR="00955003" w:rsidRPr="005038CA">
              <w:rPr>
                <w:spacing w:val="-10"/>
                <w:sz w:val="24"/>
                <w:szCs w:val="24"/>
              </w:rPr>
              <w:t xml:space="preserve"> </w:t>
            </w:r>
            <w:r w:rsidR="00955003" w:rsidRPr="005038CA">
              <w:rPr>
                <w:color w:val="000000" w:themeColor="text1"/>
                <w:spacing w:val="-10"/>
                <w:sz w:val="24"/>
                <w:szCs w:val="24"/>
              </w:rPr>
              <w:t xml:space="preserve">İşletmecinin İzin Kuruluna gerekçeli yazılı </w:t>
            </w:r>
            <w:r w:rsidR="0023398E">
              <w:rPr>
                <w:color w:val="000000" w:themeColor="text1"/>
                <w:spacing w:val="-10"/>
                <w:sz w:val="24"/>
                <w:szCs w:val="24"/>
              </w:rPr>
              <w:t xml:space="preserve">başvuru yapması ve </w:t>
            </w:r>
            <w:r w:rsidR="0023398E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onay al</w:t>
            </w:r>
            <w:r w:rsidR="00955003" w:rsidRPr="005038CA">
              <w:rPr>
                <w:color w:val="000000" w:themeColor="text1"/>
                <w:spacing w:val="-10"/>
                <w:sz w:val="24"/>
                <w:szCs w:val="24"/>
              </w:rPr>
              <w:t>ması halinde</w:t>
            </w:r>
            <w:r w:rsidR="0023398E">
              <w:rPr>
                <w:color w:val="000000" w:themeColor="text1"/>
                <w:spacing w:val="-10"/>
                <w:sz w:val="24"/>
                <w:szCs w:val="24"/>
              </w:rPr>
              <w:t>, birer yıl olmak</w:t>
            </w:r>
            <w:r w:rsidR="00955003" w:rsidRPr="005038CA">
              <w:rPr>
                <w:color w:val="000000" w:themeColor="text1"/>
                <w:spacing w:val="-10"/>
                <w:sz w:val="24"/>
                <w:szCs w:val="24"/>
              </w:rPr>
              <w:t xml:space="preserve"> üzere bu süre en çok iki yıl daha uzatılır</w:t>
            </w:r>
            <w:r w:rsidR="00955003" w:rsidRPr="005038CA">
              <w:rPr>
                <w:color w:val="FF0000"/>
                <w:spacing w:val="-10"/>
                <w:sz w:val="24"/>
                <w:szCs w:val="24"/>
              </w:rPr>
              <w:t xml:space="preserve">. </w:t>
            </w:r>
            <w:r w:rsidR="00955003" w:rsidRPr="005038CA">
              <w:rPr>
                <w:spacing w:val="-10"/>
                <w:sz w:val="24"/>
                <w:szCs w:val="24"/>
              </w:rPr>
              <w:t xml:space="preserve">Aksi takdirde bu izin, </w:t>
            </w:r>
            <w:r w:rsidR="00955003" w:rsidRPr="005038CA">
              <w:rPr>
                <w:color w:val="000000" w:themeColor="text1"/>
                <w:spacing w:val="-6"/>
                <w:sz w:val="24"/>
                <w:szCs w:val="24"/>
              </w:rPr>
              <w:t xml:space="preserve">İzin Kurulu kararı ile </w:t>
            </w:r>
            <w:r w:rsidR="00955003" w:rsidRPr="005038CA">
              <w:rPr>
                <w:color w:val="000000" w:themeColor="text1"/>
                <w:spacing w:val="-7"/>
                <w:sz w:val="24"/>
                <w:szCs w:val="24"/>
              </w:rPr>
              <w:t>iptal edil</w:t>
            </w:r>
            <w:r w:rsidR="00956DFB" w:rsidRPr="005038CA">
              <w:rPr>
                <w:color w:val="000000" w:themeColor="text1"/>
                <w:spacing w:val="-7"/>
                <w:sz w:val="24"/>
                <w:szCs w:val="24"/>
              </w:rPr>
              <w:t>ir. Geriye kalan izin sayısı on</w:t>
            </w:r>
            <w:r w:rsidR="00955003" w:rsidRPr="005038CA">
              <w:rPr>
                <w:color w:val="000000" w:themeColor="text1"/>
                <w:spacing w:val="-7"/>
                <w:sz w:val="24"/>
                <w:szCs w:val="24"/>
              </w:rPr>
              <w:t xml:space="preserve"> adetten az ise tüm izinler İzin </w:t>
            </w:r>
            <w:r w:rsidR="0023398E">
              <w:rPr>
                <w:color w:val="000000" w:themeColor="text1"/>
                <w:spacing w:val="-7"/>
                <w:sz w:val="24"/>
                <w:szCs w:val="24"/>
              </w:rPr>
              <w:t>Kurulu kararı ile iptal edilir</w:t>
            </w:r>
            <w:r w:rsidR="00955003" w:rsidRPr="005038C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  <w:p w:rsidR="00953515" w:rsidRPr="005038CA" w:rsidRDefault="00953515" w:rsidP="00955003">
            <w:pPr>
              <w:jc w:val="both"/>
              <w:rPr>
                <w:b/>
                <w:color w:val="000000" w:themeColor="text1"/>
                <w:spacing w:val="-7"/>
                <w:sz w:val="24"/>
                <w:szCs w:val="24"/>
              </w:rPr>
            </w:pPr>
          </w:p>
          <w:p w:rsidR="00953515" w:rsidRPr="005038CA" w:rsidRDefault="00953515" w:rsidP="00955003">
            <w:pPr>
              <w:jc w:val="both"/>
              <w:rPr>
                <w:b/>
                <w:color w:val="000000" w:themeColor="text1"/>
                <w:spacing w:val="-7"/>
                <w:sz w:val="24"/>
                <w:szCs w:val="24"/>
              </w:rPr>
            </w:pPr>
          </w:p>
          <w:p w:rsidR="00953515" w:rsidRPr="005038CA" w:rsidRDefault="00953515" w:rsidP="00955003">
            <w:pPr>
              <w:jc w:val="both"/>
              <w:rPr>
                <w:b/>
                <w:color w:val="000000" w:themeColor="text1"/>
                <w:spacing w:val="-7"/>
                <w:sz w:val="24"/>
                <w:szCs w:val="24"/>
              </w:rPr>
            </w:pPr>
          </w:p>
          <w:p w:rsidR="00B53831" w:rsidRPr="005038CA" w:rsidRDefault="00B53831" w:rsidP="00955003">
            <w:pPr>
              <w:jc w:val="both"/>
              <w:rPr>
                <w:b/>
                <w:color w:val="000000" w:themeColor="text1"/>
                <w:spacing w:val="-7"/>
                <w:sz w:val="24"/>
                <w:szCs w:val="24"/>
              </w:rPr>
            </w:pPr>
          </w:p>
          <w:p w:rsidR="00953515" w:rsidRPr="005038CA" w:rsidRDefault="00953515" w:rsidP="00955003">
            <w:pPr>
              <w:jc w:val="both"/>
              <w:rPr>
                <w:sz w:val="24"/>
                <w:szCs w:val="24"/>
              </w:rPr>
            </w:pPr>
          </w:p>
        </w:tc>
      </w:tr>
      <w:tr w:rsidR="008E4F6C" w:rsidRPr="005038CA" w:rsidTr="00162976"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384F54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1465E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8E4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1465E7">
            <w:pPr>
              <w:jc w:val="both"/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(B)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8E4F6C" w:rsidRPr="005038CA" w:rsidRDefault="008E4F6C" w:rsidP="00A00318">
            <w:pPr>
              <w:jc w:val="both"/>
              <w:textAlignment w:val="baseline"/>
              <w:rPr>
                <w:noProof/>
                <w:sz w:val="24"/>
                <w:szCs w:val="24"/>
              </w:rPr>
            </w:pPr>
            <w:r w:rsidRPr="005038CA">
              <w:rPr>
                <w:noProof/>
                <w:sz w:val="24"/>
                <w:szCs w:val="24"/>
              </w:rPr>
              <w:t xml:space="preserve">Hangi ülkede kayıt olduğuna bakılmaksızın, </w:t>
            </w:r>
            <w:r w:rsidR="00A00318">
              <w:rPr>
                <w:noProof/>
                <w:sz w:val="24"/>
                <w:szCs w:val="24"/>
              </w:rPr>
              <w:t>özel motorlu a</w:t>
            </w:r>
            <w:r w:rsidRPr="005038CA">
              <w:rPr>
                <w:noProof/>
                <w:sz w:val="24"/>
                <w:szCs w:val="24"/>
              </w:rPr>
              <w:t>raçların i</w:t>
            </w:r>
            <w:r w:rsidR="0096629D" w:rsidRPr="005038CA">
              <w:rPr>
                <w:noProof/>
                <w:sz w:val="24"/>
                <w:szCs w:val="24"/>
              </w:rPr>
              <w:t>lk kayıt tarihinden başlayarak,</w:t>
            </w:r>
            <w:r w:rsidR="005925BF" w:rsidRPr="005038CA">
              <w:rPr>
                <w:noProof/>
                <w:sz w:val="24"/>
                <w:szCs w:val="24"/>
              </w:rPr>
              <w:t xml:space="preserve"> </w:t>
            </w:r>
            <w:r w:rsidR="0096629D" w:rsidRPr="005038CA">
              <w:rPr>
                <w:noProof/>
                <w:sz w:val="24"/>
                <w:szCs w:val="24"/>
              </w:rPr>
              <w:t>“</w:t>
            </w:r>
            <w:r w:rsidR="005925BF" w:rsidRPr="005038CA">
              <w:rPr>
                <w:noProof/>
                <w:sz w:val="24"/>
                <w:szCs w:val="24"/>
              </w:rPr>
              <w:t>Z</w:t>
            </w:r>
            <w:r w:rsidR="00EC53F3">
              <w:rPr>
                <w:noProof/>
                <w:sz w:val="24"/>
                <w:szCs w:val="24"/>
              </w:rPr>
              <w:t>”</w:t>
            </w:r>
            <w:r w:rsidR="00A00318">
              <w:rPr>
                <w:noProof/>
                <w:sz w:val="24"/>
                <w:szCs w:val="24"/>
              </w:rPr>
              <w:t xml:space="preserve"> kiralık m</w:t>
            </w:r>
            <w:r w:rsidR="00EC53F3">
              <w:rPr>
                <w:noProof/>
                <w:sz w:val="24"/>
                <w:szCs w:val="24"/>
              </w:rPr>
              <w:t>otorlu</w:t>
            </w:r>
            <w:r w:rsidR="00CE4D30" w:rsidRPr="005038CA">
              <w:rPr>
                <w:noProof/>
                <w:sz w:val="24"/>
                <w:szCs w:val="24"/>
              </w:rPr>
              <w:t xml:space="preserve"> araca dönüştürülebilmesi için beş</w:t>
            </w:r>
            <w:r w:rsidR="00A00318">
              <w:rPr>
                <w:noProof/>
                <w:sz w:val="24"/>
                <w:szCs w:val="24"/>
              </w:rPr>
              <w:t xml:space="preserve"> yıldan fazla</w:t>
            </w:r>
            <w:r w:rsidR="005925BF" w:rsidRPr="005038CA">
              <w:rPr>
                <w:noProof/>
                <w:sz w:val="24"/>
                <w:szCs w:val="24"/>
              </w:rPr>
              <w:t xml:space="preserve"> </w:t>
            </w:r>
            <w:r w:rsidR="00805822" w:rsidRPr="005038CA">
              <w:rPr>
                <w:noProof/>
                <w:sz w:val="24"/>
                <w:szCs w:val="24"/>
              </w:rPr>
              <w:t xml:space="preserve">zaman geçmemiş olması </w:t>
            </w:r>
            <w:r w:rsidR="005925BF" w:rsidRPr="005038CA">
              <w:rPr>
                <w:noProof/>
                <w:sz w:val="24"/>
                <w:szCs w:val="24"/>
              </w:rPr>
              <w:t>gerekir.</w:t>
            </w:r>
            <w:r w:rsidR="00A00318">
              <w:rPr>
                <w:noProof/>
                <w:sz w:val="24"/>
                <w:szCs w:val="24"/>
              </w:rPr>
              <w:t>”</w:t>
            </w:r>
            <w:r w:rsidR="005925BF" w:rsidRPr="005038CA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B53831" w:rsidRPr="005038CA" w:rsidTr="00162976"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831" w:rsidRPr="005038CA" w:rsidRDefault="00B53831" w:rsidP="001465E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53831" w:rsidRPr="005038CA" w:rsidRDefault="00B53831" w:rsidP="001465E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3831" w:rsidRPr="005038CA" w:rsidRDefault="00B53831" w:rsidP="008E4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B53831" w:rsidRPr="005038CA" w:rsidRDefault="00B53831" w:rsidP="001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B53831" w:rsidRPr="005038CA" w:rsidRDefault="00B53831" w:rsidP="00B53831">
            <w:pPr>
              <w:jc w:val="both"/>
              <w:textAlignment w:val="baseline"/>
              <w:rPr>
                <w:noProof/>
                <w:sz w:val="24"/>
                <w:szCs w:val="24"/>
              </w:rPr>
            </w:pPr>
          </w:p>
        </w:tc>
      </w:tr>
      <w:tr w:rsidR="00162976" w:rsidRPr="005038CA" w:rsidTr="00162976"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76" w:rsidRPr="005038CA" w:rsidRDefault="00162976" w:rsidP="001465E7">
            <w:pPr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 xml:space="preserve">Yürürlüğe Giriş </w:t>
            </w:r>
          </w:p>
        </w:tc>
        <w:tc>
          <w:tcPr>
            <w:tcW w:w="7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976" w:rsidRPr="005038CA" w:rsidRDefault="00162976" w:rsidP="008D3FA4">
            <w:pPr>
              <w:jc w:val="both"/>
              <w:rPr>
                <w:sz w:val="24"/>
                <w:szCs w:val="24"/>
              </w:rPr>
            </w:pPr>
            <w:r w:rsidRPr="005038CA">
              <w:rPr>
                <w:sz w:val="24"/>
                <w:szCs w:val="24"/>
              </w:rPr>
              <w:t>3. Bu Yasa</w:t>
            </w:r>
            <w:r w:rsidR="008D3FA4" w:rsidRPr="005038CA">
              <w:rPr>
                <w:sz w:val="24"/>
                <w:szCs w:val="24"/>
              </w:rPr>
              <w:t>,</w:t>
            </w:r>
            <w:r w:rsidRPr="005038CA">
              <w:rPr>
                <w:sz w:val="24"/>
                <w:szCs w:val="24"/>
              </w:rPr>
              <w:t xml:space="preserve"> Resmi Gazete’de yayımlandığı tarihten başlayarak yürürlüğe girer.</w:t>
            </w:r>
          </w:p>
        </w:tc>
      </w:tr>
    </w:tbl>
    <w:p w:rsidR="00C91F0F" w:rsidRPr="005038CA" w:rsidRDefault="00C91F0F" w:rsidP="00C91F0F">
      <w:pPr>
        <w:rPr>
          <w:sz w:val="24"/>
          <w:szCs w:val="24"/>
        </w:rPr>
      </w:pPr>
    </w:p>
    <w:p w:rsidR="00AA65C9" w:rsidRPr="005038CA" w:rsidRDefault="00AA65C9">
      <w:pPr>
        <w:rPr>
          <w:sz w:val="24"/>
          <w:szCs w:val="24"/>
        </w:rPr>
      </w:pPr>
    </w:p>
    <w:sectPr w:rsidR="00AA65C9" w:rsidRPr="0050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E1C"/>
    <w:multiLevelType w:val="hybridMultilevel"/>
    <w:tmpl w:val="6B8C6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D37"/>
    <w:multiLevelType w:val="hybridMultilevel"/>
    <w:tmpl w:val="784C7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8"/>
    <w:rsid w:val="00105949"/>
    <w:rsid w:val="001435EF"/>
    <w:rsid w:val="001465E7"/>
    <w:rsid w:val="00162976"/>
    <w:rsid w:val="001B4854"/>
    <w:rsid w:val="0023398E"/>
    <w:rsid w:val="0028441F"/>
    <w:rsid w:val="003641BC"/>
    <w:rsid w:val="00384F54"/>
    <w:rsid w:val="003A15F0"/>
    <w:rsid w:val="004A4FD7"/>
    <w:rsid w:val="005038CA"/>
    <w:rsid w:val="00517452"/>
    <w:rsid w:val="005925BF"/>
    <w:rsid w:val="00774F30"/>
    <w:rsid w:val="007A7FBA"/>
    <w:rsid w:val="007F225B"/>
    <w:rsid w:val="00805822"/>
    <w:rsid w:val="008D3FA4"/>
    <w:rsid w:val="008E4F6C"/>
    <w:rsid w:val="00906CF2"/>
    <w:rsid w:val="0091449E"/>
    <w:rsid w:val="00953515"/>
    <w:rsid w:val="00955003"/>
    <w:rsid w:val="00956DFB"/>
    <w:rsid w:val="0096629D"/>
    <w:rsid w:val="009D57D3"/>
    <w:rsid w:val="009F3D95"/>
    <w:rsid w:val="00A00318"/>
    <w:rsid w:val="00A53385"/>
    <w:rsid w:val="00AA65C9"/>
    <w:rsid w:val="00AB5277"/>
    <w:rsid w:val="00AC41FF"/>
    <w:rsid w:val="00B53831"/>
    <w:rsid w:val="00B62EF8"/>
    <w:rsid w:val="00B8314F"/>
    <w:rsid w:val="00C91F0F"/>
    <w:rsid w:val="00CE4D30"/>
    <w:rsid w:val="00DD0AC3"/>
    <w:rsid w:val="00E37884"/>
    <w:rsid w:val="00E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FF37-6C08-4508-AAFC-C0BA44B8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 Kurul</dc:creator>
  <cp:keywords/>
  <dc:description/>
  <cp:lastModifiedBy>Hayriye İnatcı</cp:lastModifiedBy>
  <cp:revision>49</cp:revision>
  <cp:lastPrinted>2023-05-23T07:26:00Z</cp:lastPrinted>
  <dcterms:created xsi:type="dcterms:W3CDTF">2023-03-14T10:33:00Z</dcterms:created>
  <dcterms:modified xsi:type="dcterms:W3CDTF">2023-05-30T07:04:00Z</dcterms:modified>
</cp:coreProperties>
</file>