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30" w:type="dxa"/>
        <w:tblLook w:val="01E0" w:firstRow="1" w:lastRow="1" w:firstColumn="1" w:lastColumn="1" w:noHBand="0" w:noVBand="0"/>
      </w:tblPr>
      <w:tblGrid>
        <w:gridCol w:w="30"/>
        <w:gridCol w:w="1660"/>
        <w:gridCol w:w="543"/>
        <w:gridCol w:w="567"/>
        <w:gridCol w:w="6810"/>
        <w:gridCol w:w="428"/>
      </w:tblGrid>
      <w:tr w:rsidR="00ED75AB" w:rsidTr="00ED75AB">
        <w:trPr>
          <w:gridBefore w:val="1"/>
          <w:wBefore w:w="30" w:type="dxa"/>
        </w:trPr>
        <w:tc>
          <w:tcPr>
            <w:tcW w:w="10008" w:type="dxa"/>
            <w:gridSpan w:val="5"/>
            <w:hideMark/>
          </w:tcPr>
          <w:p w:rsidR="00ED75AB" w:rsidRPr="00ED75AB" w:rsidRDefault="00ED75AB" w:rsidP="00ED75AB">
            <w:pPr>
              <w:jc w:val="both"/>
              <w:rPr>
                <w:rFonts w:ascii="Times New Roman" w:hAnsi="Times New Roman" w:cs="Times New Roman"/>
                <w:sz w:val="24"/>
                <w:szCs w:val="24"/>
              </w:rPr>
            </w:pPr>
            <w:r w:rsidRPr="00ED75AB">
              <w:rPr>
                <w:rFonts w:ascii="Times New Roman" w:hAnsi="Times New Roman" w:cs="Times New Roman"/>
                <w:sz w:val="24"/>
                <w:szCs w:val="24"/>
              </w:rPr>
              <w:t>Kuzey Kıbrıs Türk Cumh</w:t>
            </w:r>
            <w:r>
              <w:rPr>
                <w:rFonts w:ascii="Times New Roman" w:hAnsi="Times New Roman" w:cs="Times New Roman"/>
                <w:sz w:val="24"/>
                <w:szCs w:val="24"/>
              </w:rPr>
              <w:t>uriyeti Cumhuriyet Meclisi’nin 16</w:t>
            </w:r>
            <w:r w:rsidRPr="00ED75AB">
              <w:rPr>
                <w:rFonts w:ascii="Times New Roman" w:hAnsi="Times New Roman" w:cs="Times New Roman"/>
                <w:sz w:val="24"/>
                <w:szCs w:val="24"/>
              </w:rPr>
              <w:t xml:space="preserve"> Mayıs 2016 tarihli </w:t>
            </w:r>
            <w:r>
              <w:rPr>
                <w:rFonts w:ascii="Times New Roman" w:hAnsi="Times New Roman" w:cs="Times New Roman"/>
                <w:sz w:val="24"/>
                <w:szCs w:val="24"/>
              </w:rPr>
              <w:t>Altmışüçüncü</w:t>
            </w:r>
            <w:r w:rsidRPr="00ED75AB">
              <w:rPr>
                <w:rFonts w:ascii="Times New Roman" w:hAnsi="Times New Roman" w:cs="Times New Roman"/>
                <w:sz w:val="24"/>
                <w:szCs w:val="24"/>
              </w:rPr>
              <w:t xml:space="preserve">   Birleşiminde Oybirliğiyle kabul olunan “</w:t>
            </w:r>
            <w:r w:rsidRPr="00E31C26">
              <w:rPr>
                <w:rFonts w:ascii="Times New Roman" w:hAnsi="Times New Roman" w:cs="Times New Roman"/>
                <w:sz w:val="24"/>
                <w:szCs w:val="24"/>
              </w:rPr>
              <w:t>Gelir ve Vergi Dairesi (Kuruluş, Görev ve Çalış</w:t>
            </w:r>
            <w:r>
              <w:rPr>
                <w:rFonts w:ascii="Times New Roman" w:hAnsi="Times New Roman" w:cs="Times New Roman"/>
                <w:sz w:val="24"/>
                <w:szCs w:val="24"/>
              </w:rPr>
              <w:t>ma Esasları) (Değişiklik)</w:t>
            </w:r>
            <w:r w:rsidRPr="00ED75AB">
              <w:rPr>
                <w:rFonts w:ascii="Times New Roman" w:hAnsi="Times New Roman" w:cs="Times New Roman"/>
                <w:sz w:val="24"/>
                <w:szCs w:val="24"/>
              </w:rPr>
              <w:t xml:space="preserve"> </w:t>
            </w:r>
            <w:r w:rsidRPr="00ED75AB">
              <w:rPr>
                <w:rFonts w:ascii="Times New Roman" w:hAnsi="Times New Roman" w:cs="Times New Roman"/>
                <w:sz w:val="24"/>
                <w:szCs w:val="24"/>
              </w:rPr>
              <w:t>Yasası” Anayasanın 94’üncü maddesinin (1)’inci fıkrası gereğince Kuzey Kıbrıs Türk Cumhuriyeti Cumhurbaşkanı tarafından Re</w:t>
            </w:r>
            <w:bookmarkStart w:id="0" w:name="_GoBack"/>
            <w:bookmarkEnd w:id="0"/>
            <w:r w:rsidRPr="00ED75AB">
              <w:rPr>
                <w:rFonts w:ascii="Times New Roman" w:hAnsi="Times New Roman" w:cs="Times New Roman"/>
                <w:sz w:val="24"/>
                <w:szCs w:val="24"/>
              </w:rPr>
              <w:t>smi Gazete’de yayımlanmak suretiyle ilan olunur.</w:t>
            </w:r>
          </w:p>
        </w:tc>
      </w:tr>
      <w:tr w:rsidR="00ED75AB" w:rsidTr="00ED75AB">
        <w:trPr>
          <w:gridBefore w:val="1"/>
          <w:wBefore w:w="30" w:type="dxa"/>
        </w:trPr>
        <w:tc>
          <w:tcPr>
            <w:tcW w:w="10008" w:type="dxa"/>
            <w:gridSpan w:val="5"/>
          </w:tcPr>
          <w:p w:rsidR="00ED75AB" w:rsidRPr="00ED75AB" w:rsidRDefault="00ED75AB">
            <w:pPr>
              <w:jc w:val="center"/>
              <w:rPr>
                <w:rFonts w:ascii="Times New Roman" w:hAnsi="Times New Roman" w:cs="Times New Roman"/>
                <w:sz w:val="24"/>
                <w:szCs w:val="24"/>
              </w:rPr>
            </w:pPr>
          </w:p>
        </w:tc>
      </w:tr>
      <w:tr w:rsidR="00ED75AB" w:rsidTr="00ED75AB">
        <w:trPr>
          <w:gridBefore w:val="1"/>
          <w:wBefore w:w="30" w:type="dxa"/>
        </w:trPr>
        <w:tc>
          <w:tcPr>
            <w:tcW w:w="10008" w:type="dxa"/>
            <w:gridSpan w:val="5"/>
            <w:hideMark/>
          </w:tcPr>
          <w:p w:rsidR="00ED75AB" w:rsidRPr="00ED75AB" w:rsidRDefault="00ED75AB">
            <w:pPr>
              <w:jc w:val="center"/>
              <w:rPr>
                <w:rFonts w:ascii="Times New Roman" w:hAnsi="Times New Roman" w:cs="Times New Roman"/>
                <w:sz w:val="24"/>
                <w:szCs w:val="24"/>
              </w:rPr>
            </w:pPr>
            <w:r>
              <w:rPr>
                <w:rFonts w:ascii="Times New Roman" w:hAnsi="Times New Roman" w:cs="Times New Roman"/>
                <w:sz w:val="24"/>
                <w:szCs w:val="24"/>
              </w:rPr>
              <w:t>Sayı: 25</w:t>
            </w:r>
            <w:r w:rsidRPr="00ED75AB">
              <w:rPr>
                <w:rFonts w:ascii="Times New Roman" w:hAnsi="Times New Roman" w:cs="Times New Roman"/>
                <w:sz w:val="24"/>
                <w:szCs w:val="24"/>
              </w:rPr>
              <w:t>/2016</w:t>
            </w:r>
          </w:p>
        </w:tc>
      </w:tr>
      <w:tr w:rsidR="007872E7" w:rsidRPr="00E31C26" w:rsidTr="00ED75AB">
        <w:tblPrEx>
          <w:tblCellMar>
            <w:left w:w="70" w:type="dxa"/>
            <w:right w:w="70" w:type="dxa"/>
          </w:tblCellMar>
          <w:tblLook w:val="0000" w:firstRow="0" w:lastRow="0" w:firstColumn="0" w:lastColumn="0" w:noHBand="0" w:noVBand="0"/>
        </w:tblPrEx>
        <w:trPr>
          <w:gridAfter w:val="1"/>
          <w:wAfter w:w="428" w:type="dxa"/>
          <w:trHeight w:val="270"/>
        </w:trPr>
        <w:tc>
          <w:tcPr>
            <w:tcW w:w="9610" w:type="dxa"/>
            <w:gridSpan w:val="5"/>
          </w:tcPr>
          <w:p w:rsidR="007872E7" w:rsidRPr="00E31C26" w:rsidRDefault="007872E7" w:rsidP="00A93F4D">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GELİR VE VERGİ DAİRESİ </w:t>
            </w:r>
          </w:p>
          <w:p w:rsidR="007872E7" w:rsidRPr="00E31C26" w:rsidRDefault="007872E7" w:rsidP="00A93F4D">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(KURULUŞ, GÖREV VE ÇALIŞMA ESASLARI) (DEĞİŞİKLİK)</w:t>
            </w:r>
          </w:p>
          <w:p w:rsidR="007872E7" w:rsidRPr="00E31C26" w:rsidRDefault="007872E7" w:rsidP="00A93F4D">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YASASI</w:t>
            </w:r>
          </w:p>
        </w:tc>
      </w:tr>
      <w:tr w:rsidR="007872E7" w:rsidRPr="00E31C26" w:rsidTr="00ED75AB">
        <w:tblPrEx>
          <w:tblCellMar>
            <w:left w:w="70" w:type="dxa"/>
            <w:right w:w="70" w:type="dxa"/>
          </w:tblCellMar>
          <w:tblLook w:val="0000" w:firstRow="0" w:lastRow="0" w:firstColumn="0" w:lastColumn="0" w:noHBand="0" w:noVBand="0"/>
        </w:tblPrEx>
        <w:trPr>
          <w:gridAfter w:val="1"/>
          <w:wAfter w:w="428" w:type="dxa"/>
          <w:trHeight w:val="270"/>
        </w:trPr>
        <w:tc>
          <w:tcPr>
            <w:tcW w:w="9610" w:type="dxa"/>
            <w:gridSpan w:val="5"/>
          </w:tcPr>
          <w:p w:rsidR="007872E7" w:rsidRPr="00E31C26" w:rsidRDefault="007872E7" w:rsidP="00A93F4D">
            <w:pPr>
              <w:spacing w:after="0" w:line="240" w:lineRule="auto"/>
              <w:jc w:val="center"/>
              <w:rPr>
                <w:rFonts w:ascii="Times New Roman" w:hAnsi="Times New Roman" w:cs="Times New Roman"/>
                <w:sz w:val="24"/>
                <w:szCs w:val="24"/>
              </w:rPr>
            </w:pPr>
          </w:p>
        </w:tc>
      </w:tr>
      <w:tr w:rsidR="007872E7" w:rsidRPr="00E31C26" w:rsidTr="00ED75AB">
        <w:tblPrEx>
          <w:tblCellMar>
            <w:left w:w="70" w:type="dxa"/>
            <w:right w:w="70" w:type="dxa"/>
          </w:tblCellMar>
          <w:tblLook w:val="0000" w:firstRow="0" w:lastRow="0" w:firstColumn="0" w:lastColumn="0" w:noHBand="0" w:noVBand="0"/>
        </w:tblPrEx>
        <w:trPr>
          <w:gridAfter w:val="1"/>
          <w:wAfter w:w="428" w:type="dxa"/>
          <w:trHeight w:val="270"/>
        </w:trPr>
        <w:tc>
          <w:tcPr>
            <w:tcW w:w="9610" w:type="dxa"/>
            <w:gridSpan w:val="5"/>
          </w:tcPr>
          <w:p w:rsidR="007872E7" w:rsidRPr="00E31C26" w:rsidRDefault="007872E7" w:rsidP="00A93F4D">
            <w:pPr>
              <w:spacing w:after="0" w:line="240" w:lineRule="auto"/>
              <w:jc w:val="center"/>
              <w:rPr>
                <w:rFonts w:ascii="Times New Roman" w:hAnsi="Times New Roman" w:cs="Times New Roman"/>
                <w:sz w:val="24"/>
                <w:szCs w:val="24"/>
              </w:rPr>
            </w:pPr>
          </w:p>
        </w:tc>
      </w:tr>
      <w:tr w:rsidR="007872E7" w:rsidRPr="00E31C26" w:rsidTr="00ED75AB">
        <w:tblPrEx>
          <w:tblCellMar>
            <w:left w:w="70" w:type="dxa"/>
            <w:right w:w="70" w:type="dxa"/>
          </w:tblCellMar>
          <w:tblLook w:val="0000" w:firstRow="0" w:lastRow="0" w:firstColumn="0" w:lastColumn="0" w:noHBand="0" w:noVBand="0"/>
        </w:tblPrEx>
        <w:trPr>
          <w:gridAfter w:val="1"/>
          <w:wAfter w:w="428" w:type="dxa"/>
          <w:trHeight w:val="270"/>
        </w:trPr>
        <w:tc>
          <w:tcPr>
            <w:tcW w:w="1690" w:type="dxa"/>
            <w:gridSpan w:val="2"/>
          </w:tcPr>
          <w:p w:rsidR="007872E7" w:rsidRPr="00E31C26" w:rsidRDefault="007872E7" w:rsidP="00A93F4D">
            <w:pPr>
              <w:spacing w:after="0" w:line="240" w:lineRule="auto"/>
              <w:jc w:val="center"/>
              <w:rPr>
                <w:rFonts w:ascii="Times New Roman" w:hAnsi="Times New Roman" w:cs="Times New Roman"/>
                <w:sz w:val="24"/>
                <w:szCs w:val="24"/>
              </w:rPr>
            </w:pPr>
          </w:p>
        </w:tc>
        <w:tc>
          <w:tcPr>
            <w:tcW w:w="7920" w:type="dxa"/>
            <w:gridSpan w:val="3"/>
          </w:tcPr>
          <w:p w:rsidR="007872E7" w:rsidRPr="00E31C26" w:rsidRDefault="007872E7" w:rsidP="00A93F4D">
            <w:pPr>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 xml:space="preserve">       Kuzey Kıbrıs Türk Cumhuriyeti Cumhuriyet Meclisi aşağıdaki Yasayı yapar:</w:t>
            </w:r>
          </w:p>
        </w:tc>
      </w:tr>
      <w:tr w:rsidR="007872E7" w:rsidRPr="00E31C26" w:rsidTr="00ED75AB">
        <w:tblPrEx>
          <w:tblCellMar>
            <w:left w:w="70" w:type="dxa"/>
            <w:right w:w="70" w:type="dxa"/>
          </w:tblCellMar>
          <w:tblLook w:val="0000" w:firstRow="0" w:lastRow="0" w:firstColumn="0" w:lastColumn="0" w:noHBand="0" w:noVBand="0"/>
        </w:tblPrEx>
        <w:trPr>
          <w:gridAfter w:val="1"/>
          <w:wAfter w:w="428" w:type="dxa"/>
          <w:trHeight w:val="270"/>
        </w:trPr>
        <w:tc>
          <w:tcPr>
            <w:tcW w:w="1690" w:type="dxa"/>
            <w:gridSpan w:val="2"/>
          </w:tcPr>
          <w:p w:rsidR="007872E7" w:rsidRPr="00E31C26" w:rsidRDefault="007872E7" w:rsidP="00A93F4D">
            <w:pPr>
              <w:spacing w:after="0" w:line="240" w:lineRule="auto"/>
              <w:jc w:val="center"/>
              <w:rPr>
                <w:rFonts w:ascii="Times New Roman" w:hAnsi="Times New Roman" w:cs="Times New Roman"/>
                <w:sz w:val="24"/>
                <w:szCs w:val="24"/>
              </w:rPr>
            </w:pPr>
          </w:p>
        </w:tc>
        <w:tc>
          <w:tcPr>
            <w:tcW w:w="7920" w:type="dxa"/>
            <w:gridSpan w:val="3"/>
          </w:tcPr>
          <w:p w:rsidR="007872E7" w:rsidRPr="00E31C26" w:rsidRDefault="007872E7" w:rsidP="00A93F4D">
            <w:pPr>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300ADA">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Kısa İsim</w:t>
            </w:r>
          </w:p>
          <w:p w:rsidR="007872E7" w:rsidRPr="00E31C26" w:rsidRDefault="007872E7" w:rsidP="00120158">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65/1988</w:t>
            </w:r>
          </w:p>
          <w:p w:rsidR="007872E7" w:rsidRPr="00E31C26" w:rsidRDefault="007872E7" w:rsidP="00120158">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56/1992</w:t>
            </w:r>
          </w:p>
          <w:p w:rsidR="007872E7" w:rsidRPr="00E31C26" w:rsidRDefault="007872E7" w:rsidP="00120158">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51/2000</w:t>
            </w:r>
          </w:p>
          <w:p w:rsidR="007872E7" w:rsidRPr="00E31C26" w:rsidRDefault="007872E7" w:rsidP="00300ADA">
            <w:pPr>
              <w:spacing w:after="0" w:line="240" w:lineRule="auto"/>
              <w:jc w:val="center"/>
              <w:rPr>
                <w:rFonts w:ascii="Times New Roman" w:hAnsi="Times New Roman" w:cs="Times New Roman"/>
                <w:sz w:val="24"/>
                <w:szCs w:val="24"/>
              </w:rPr>
            </w:pPr>
          </w:p>
        </w:tc>
        <w:tc>
          <w:tcPr>
            <w:tcW w:w="7920" w:type="dxa"/>
            <w:gridSpan w:val="3"/>
          </w:tcPr>
          <w:p w:rsidR="007872E7" w:rsidRPr="00E31C26" w:rsidRDefault="007872E7" w:rsidP="00120158">
            <w:pPr>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1.  Bu Yasa, Gelir ve Vergi Dairesi (Kuruluş, Görev ve Çalışma Esasları) (Değişiklik) Yasası olarak isimlendirilir ve aşağıda “Esas Yasa” olarak anılan Gelir ve Vergi Dairesi (Kuruluş, Görev ve Çalışma Esasları) Yasası ile birlikte okunur.</w:t>
            </w:r>
          </w:p>
          <w:p w:rsidR="007872E7" w:rsidRPr="00E31C26" w:rsidRDefault="007872E7" w:rsidP="00300ADA">
            <w:pPr>
              <w:spacing w:after="0" w:line="240" w:lineRule="auto"/>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300ADA">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Esas Yasanın 5’inci Maddesinin Değiştirilmesi</w:t>
            </w:r>
          </w:p>
        </w:tc>
        <w:tc>
          <w:tcPr>
            <w:tcW w:w="7920" w:type="dxa"/>
            <w:gridSpan w:val="3"/>
          </w:tcPr>
          <w:p w:rsidR="007872E7" w:rsidRPr="00E31C26" w:rsidRDefault="007872E7" w:rsidP="00300ADA">
            <w:pPr>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2.  Esas Yasa, 5’inci maddesinin (9)’uncu ve (10)’uncu fıkraları kaldırılmak suretiyle değiştirilir.</w:t>
            </w: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300ADA">
            <w:pPr>
              <w:spacing w:after="0" w:line="240" w:lineRule="auto"/>
              <w:rPr>
                <w:rFonts w:ascii="Times New Roman" w:hAnsi="Times New Roman" w:cs="Times New Roman"/>
                <w:sz w:val="24"/>
                <w:szCs w:val="24"/>
              </w:rPr>
            </w:pPr>
          </w:p>
        </w:tc>
        <w:tc>
          <w:tcPr>
            <w:tcW w:w="7920" w:type="dxa"/>
            <w:gridSpan w:val="3"/>
          </w:tcPr>
          <w:p w:rsidR="007872E7" w:rsidRPr="00E31C26" w:rsidRDefault="007872E7" w:rsidP="00300ADA">
            <w:pPr>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Height w:val="1008"/>
        </w:trPr>
        <w:tc>
          <w:tcPr>
            <w:tcW w:w="1690" w:type="dxa"/>
            <w:gridSpan w:val="2"/>
            <w:vMerge w:val="restart"/>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Esas Yasanın 9’uncu Maddesinin Değiştirilmesi</w:t>
            </w:r>
          </w:p>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vMerge w:val="restart"/>
          </w:tcPr>
          <w:p w:rsidR="007872E7" w:rsidRPr="00E31C26" w:rsidRDefault="007872E7" w:rsidP="00AF77EB">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3.</w:t>
            </w:r>
          </w:p>
        </w:tc>
        <w:tc>
          <w:tcPr>
            <w:tcW w:w="567" w:type="dxa"/>
          </w:tcPr>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(1)</w:t>
            </w:r>
          </w:p>
        </w:tc>
        <w:tc>
          <w:tcPr>
            <w:tcW w:w="6810" w:type="dxa"/>
          </w:tcPr>
          <w:p w:rsidR="007872E7" w:rsidRPr="00E31C26" w:rsidRDefault="007872E7" w:rsidP="004121D6">
            <w:pPr>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Esas Yasa, 9’uncu maddesinin (1)’inci fıkrasına bağlı Birinci Cetvelde yer alan “III. Derece Sürüş Ehliyeti Şube Amiri”, “I. Derece Kıdemli Sürüş Ehliyeti Müfettişi”, “II. Derece I. Sınıf Sürüş Ehliyeti Müfettişi” ve “III. Derece II. Sınıf Sürüş Ehliyeti Müfettişi” kadroları kaldırılmak  suretiye değiştirilir.</w:t>
            </w:r>
          </w:p>
        </w:tc>
      </w:tr>
      <w:tr w:rsidR="007872E7" w:rsidRPr="00E31C26" w:rsidTr="00ED75AB">
        <w:tblPrEx>
          <w:tblLook w:val="00A0" w:firstRow="1" w:lastRow="0" w:firstColumn="1" w:lastColumn="0" w:noHBand="0" w:noVBand="0"/>
        </w:tblPrEx>
        <w:trPr>
          <w:gridAfter w:val="1"/>
          <w:wAfter w:w="428" w:type="dxa"/>
          <w:trHeight w:val="118"/>
        </w:trPr>
        <w:tc>
          <w:tcPr>
            <w:tcW w:w="1690" w:type="dxa"/>
            <w:gridSpan w:val="2"/>
            <w:vMerge/>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vMerge/>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tc>
        <w:tc>
          <w:tcPr>
            <w:tcW w:w="6810" w:type="dxa"/>
          </w:tcPr>
          <w:p w:rsidR="007872E7" w:rsidRPr="00E31C26" w:rsidRDefault="007872E7" w:rsidP="004121D6">
            <w:pPr>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Height w:val="835"/>
        </w:trPr>
        <w:tc>
          <w:tcPr>
            <w:tcW w:w="1690" w:type="dxa"/>
            <w:gridSpan w:val="2"/>
            <w:vMerge/>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vMerge/>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AF77EB">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(2)</w:t>
            </w:r>
          </w:p>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tc>
        <w:tc>
          <w:tcPr>
            <w:tcW w:w="6810" w:type="dxa"/>
          </w:tcPr>
          <w:p w:rsidR="007872E7" w:rsidRPr="00E31C26" w:rsidRDefault="007872E7" w:rsidP="00300ADA">
            <w:pPr>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 xml:space="preserve">Esas Yasa, 9’uncu maddesinin (1)’inci fıkrasına bağlı Birinci Cetvelin sonunda yer alan “527 Toplam” sözdizisi kaldırılmak ve yerine “507 Toplam” sözdizisi konmak suretiyle değiştirilir. </w:t>
            </w:r>
          </w:p>
        </w:tc>
      </w:tr>
      <w:tr w:rsidR="007872E7" w:rsidRPr="00E31C26" w:rsidTr="00ED75AB">
        <w:tblPrEx>
          <w:tblLook w:val="00A0" w:firstRow="1" w:lastRow="0" w:firstColumn="1" w:lastColumn="0" w:noHBand="0" w:noVBand="0"/>
        </w:tblPrEx>
        <w:trPr>
          <w:gridAfter w:val="1"/>
          <w:wAfter w:w="428" w:type="dxa"/>
          <w:trHeight w:val="258"/>
        </w:trPr>
        <w:tc>
          <w:tcPr>
            <w:tcW w:w="1690" w:type="dxa"/>
            <w:gridSpan w:val="2"/>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AF77EB">
            <w:pPr>
              <w:spacing w:after="0" w:line="240" w:lineRule="auto"/>
              <w:jc w:val="center"/>
              <w:rPr>
                <w:rFonts w:ascii="Times New Roman" w:hAnsi="Times New Roman" w:cs="Times New Roman"/>
                <w:sz w:val="24"/>
                <w:szCs w:val="24"/>
              </w:rPr>
            </w:pPr>
          </w:p>
        </w:tc>
        <w:tc>
          <w:tcPr>
            <w:tcW w:w="6810" w:type="dxa"/>
          </w:tcPr>
          <w:p w:rsidR="007872E7" w:rsidRPr="00E31C26" w:rsidRDefault="007872E7" w:rsidP="00300ADA">
            <w:pPr>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vMerge w:val="restart"/>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Esas Yasanın 10’uncu Maddesinin Değiştirilmesi</w:t>
            </w:r>
          </w:p>
        </w:tc>
        <w:tc>
          <w:tcPr>
            <w:tcW w:w="543" w:type="dxa"/>
            <w:vMerge w:val="restart"/>
          </w:tcPr>
          <w:p w:rsidR="007872E7" w:rsidRPr="00E31C26" w:rsidRDefault="007872E7" w:rsidP="00AF77EB">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4.</w:t>
            </w:r>
          </w:p>
        </w:tc>
        <w:tc>
          <w:tcPr>
            <w:tcW w:w="567" w:type="dxa"/>
          </w:tcPr>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(1)</w:t>
            </w:r>
          </w:p>
        </w:tc>
        <w:tc>
          <w:tcPr>
            <w:tcW w:w="6810" w:type="dxa"/>
          </w:tcPr>
          <w:p w:rsidR="007872E7" w:rsidRPr="00E31C26" w:rsidRDefault="007872E7" w:rsidP="00300ADA">
            <w:pPr>
              <w:tabs>
                <w:tab w:val="left" w:pos="2016"/>
                <w:tab w:val="left" w:pos="2448"/>
              </w:tabs>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Esas Yasa, 10’uncu maddesinin (1)’inci fıkrasına bağlı İkinci Cetvelde yer alan “III. Derece Sürüş Ehliyeti Şube Amiri”, “I. Derece Kıdemli Sürüş Ehliyeti Müfettişi”, “II.Derece I.Sınıf Sürüş Ehliyeti Müfettişi” ve “III. Derece II. Sınıf Sürüş Ehliyeti Müfettişi” Hizmet Şemaları kaldırılmak suretiyle değiştirilir.</w:t>
            </w:r>
          </w:p>
        </w:tc>
      </w:tr>
      <w:tr w:rsidR="007872E7" w:rsidRPr="00E31C26" w:rsidTr="00ED75AB">
        <w:tblPrEx>
          <w:tblLook w:val="00A0" w:firstRow="1" w:lastRow="0" w:firstColumn="1" w:lastColumn="0" w:noHBand="0" w:noVBand="0"/>
        </w:tblPrEx>
        <w:trPr>
          <w:gridAfter w:val="1"/>
          <w:wAfter w:w="428" w:type="dxa"/>
        </w:trPr>
        <w:tc>
          <w:tcPr>
            <w:tcW w:w="1690" w:type="dxa"/>
            <w:gridSpan w:val="2"/>
            <w:vMerge/>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vMerge/>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tc>
        <w:tc>
          <w:tcPr>
            <w:tcW w:w="6810" w:type="dxa"/>
          </w:tcPr>
          <w:p w:rsidR="007872E7" w:rsidRPr="00E31C26" w:rsidRDefault="007872E7" w:rsidP="00300ADA">
            <w:pPr>
              <w:tabs>
                <w:tab w:val="left" w:pos="2016"/>
                <w:tab w:val="left" w:pos="2448"/>
              </w:tabs>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vMerge/>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vMerge/>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(2)</w:t>
            </w:r>
          </w:p>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tc>
        <w:tc>
          <w:tcPr>
            <w:tcW w:w="6810" w:type="dxa"/>
          </w:tcPr>
          <w:p w:rsidR="007872E7" w:rsidRPr="00E31C26" w:rsidRDefault="007872E7" w:rsidP="00300ADA">
            <w:pPr>
              <w:tabs>
                <w:tab w:val="left" w:pos="2016"/>
                <w:tab w:val="left" w:pos="2448"/>
              </w:tabs>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Esas Yasa, 10’uncu maddesinin (1)’inci fıkrasına bağlı İkinci Cetvelde yer alan “III. Derece II. Sınıf Gelir ve Vergi Memuru” kadrosu hizmet şemasının “I.Görev, Yetki ve Sorumlulukları” kısmının (3)’üncü fıkrası kaldırılmak ve mevcut (4)’üncü ve (5)’inci fıkralar sırasıyla yeni (3)’üncü ve (4)’üncü fıkra olarak yeniden sayılandırılmak suretiye değiştirilir.</w:t>
            </w:r>
          </w:p>
        </w:tc>
      </w:tr>
      <w:tr w:rsidR="007872E7" w:rsidRPr="00E31C26" w:rsidTr="00ED75AB">
        <w:tblPrEx>
          <w:tblLook w:val="00A0" w:firstRow="1" w:lastRow="0" w:firstColumn="1" w:lastColumn="0" w:noHBand="0" w:noVBand="0"/>
        </w:tblPrEx>
        <w:trPr>
          <w:gridAfter w:val="1"/>
          <w:wAfter w:w="428" w:type="dxa"/>
        </w:trPr>
        <w:tc>
          <w:tcPr>
            <w:tcW w:w="1690" w:type="dxa"/>
            <w:gridSpan w:val="2"/>
            <w:vMerge/>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vMerge/>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tc>
        <w:tc>
          <w:tcPr>
            <w:tcW w:w="6810" w:type="dxa"/>
          </w:tcPr>
          <w:p w:rsidR="007872E7" w:rsidRPr="00E31C26" w:rsidRDefault="007872E7" w:rsidP="00300ADA">
            <w:pPr>
              <w:tabs>
                <w:tab w:val="left" w:pos="2016"/>
                <w:tab w:val="left" w:pos="2448"/>
              </w:tabs>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vMerge/>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vMerge/>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(3)</w:t>
            </w:r>
          </w:p>
          <w:p w:rsidR="007872E7" w:rsidRPr="00E31C26" w:rsidRDefault="007872E7" w:rsidP="00AF77EB">
            <w:pPr>
              <w:tabs>
                <w:tab w:val="left" w:pos="2016"/>
                <w:tab w:val="left" w:pos="2448"/>
              </w:tabs>
              <w:spacing w:after="0" w:line="240" w:lineRule="auto"/>
              <w:jc w:val="center"/>
              <w:rPr>
                <w:rFonts w:ascii="Times New Roman" w:hAnsi="Times New Roman" w:cs="Times New Roman"/>
                <w:sz w:val="24"/>
                <w:szCs w:val="24"/>
              </w:rPr>
            </w:pPr>
          </w:p>
        </w:tc>
        <w:tc>
          <w:tcPr>
            <w:tcW w:w="6810" w:type="dxa"/>
          </w:tcPr>
          <w:p w:rsidR="007872E7" w:rsidRPr="00E31C26" w:rsidRDefault="007872E7" w:rsidP="00AF77EB">
            <w:pPr>
              <w:tabs>
                <w:tab w:val="left" w:pos="2016"/>
                <w:tab w:val="left" w:pos="2448"/>
              </w:tabs>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Esas Yasa, 9’uncu maddesinin (1)’inci fıkrasına bağlı İkinci Cetvelde yer alan “I. Derece Kıdemli Gelir ve Vergi Katibi”, ”II. Derece I. Sınıf Gelir ve Vergi Katibi”,  “III. Derece II. Sınıf Gelir ve Vergi Katibi” ve “IV. Derece Gelir ve Vergi Katip Yardımcısı” kadrolarının hizmet şemalarının “I.Görev, Yetki ve Sorumlulukları” kısımlarının  (2)’nci fıkraları kaldırılmak ve mevcut (3)’üncü, (4)’üncü, (5)’inci ve (6)’ncı fıkraları sırasıyla yeni (2)’nci, (3)’üncü, (4)’üncü ve (5)’inci fıkra olarak yeniden sayılandırılmak suretiye değiştirilir.</w:t>
            </w:r>
          </w:p>
          <w:p w:rsidR="007872E7" w:rsidRPr="00E31C26" w:rsidRDefault="007872E7" w:rsidP="00300ADA">
            <w:pPr>
              <w:tabs>
                <w:tab w:val="left" w:pos="2016"/>
                <w:tab w:val="left" w:pos="2448"/>
              </w:tabs>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E52241">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Geçici Madde </w:t>
            </w:r>
          </w:p>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Kadrosu Kaldırılan Personelin </w:t>
            </w:r>
          </w:p>
        </w:tc>
        <w:tc>
          <w:tcPr>
            <w:tcW w:w="543" w:type="dxa"/>
          </w:tcPr>
          <w:p w:rsidR="007872E7" w:rsidRPr="00E31C26" w:rsidRDefault="007872E7" w:rsidP="002F33D6">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1.</w:t>
            </w:r>
          </w:p>
          <w:p w:rsidR="007872E7" w:rsidRPr="00E31C26" w:rsidRDefault="007872E7" w:rsidP="002F33D6">
            <w:pPr>
              <w:spacing w:after="0" w:line="240" w:lineRule="auto"/>
              <w:jc w:val="center"/>
              <w:rPr>
                <w:rFonts w:ascii="Times New Roman" w:hAnsi="Times New Roman" w:cs="Times New Roman"/>
                <w:sz w:val="24"/>
                <w:szCs w:val="24"/>
              </w:rPr>
            </w:pPr>
          </w:p>
        </w:tc>
        <w:tc>
          <w:tcPr>
            <w:tcW w:w="567" w:type="dxa"/>
          </w:tcPr>
          <w:p w:rsidR="007872E7" w:rsidRPr="00E31C26" w:rsidRDefault="007872E7" w:rsidP="002F33D6">
            <w:pPr>
              <w:tabs>
                <w:tab w:val="left" w:pos="2016"/>
                <w:tab w:val="left" w:pos="2448"/>
              </w:tabs>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(1)</w:t>
            </w:r>
          </w:p>
          <w:p w:rsidR="007872E7" w:rsidRPr="00E31C26" w:rsidRDefault="007872E7" w:rsidP="002F33D6">
            <w:pPr>
              <w:tabs>
                <w:tab w:val="left" w:pos="2016"/>
                <w:tab w:val="left" w:pos="2448"/>
              </w:tabs>
              <w:spacing w:after="0" w:line="240" w:lineRule="auto"/>
              <w:jc w:val="center"/>
              <w:rPr>
                <w:rFonts w:ascii="Times New Roman" w:hAnsi="Times New Roman" w:cs="Times New Roman"/>
                <w:sz w:val="24"/>
                <w:szCs w:val="24"/>
              </w:rPr>
            </w:pPr>
          </w:p>
        </w:tc>
        <w:tc>
          <w:tcPr>
            <w:tcW w:w="6810" w:type="dxa"/>
          </w:tcPr>
          <w:p w:rsidR="007872E7" w:rsidRPr="00E31C26" w:rsidRDefault="007872E7" w:rsidP="00AF77EB">
            <w:pPr>
              <w:tabs>
                <w:tab w:val="left" w:pos="2016"/>
                <w:tab w:val="left" w:pos="2448"/>
              </w:tabs>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Bu Yasa ile yürürlükten kaldırılan kadrolarda çalışmakta olan personel, başka  bir kadroya atanıncaya veya emekli oluncaya kadar bu kadronun kendisine kazandırmış olduğu ve/veya kazandıracağı haklardan aynen yararlanmaya devam eder.</w:t>
            </w: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Hakları</w:t>
            </w:r>
          </w:p>
          <w:p w:rsidR="007872E7" w:rsidRPr="00E31C26" w:rsidRDefault="007872E7" w:rsidP="00F51277">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7/1979</w:t>
            </w:r>
          </w:p>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3/1982        </w:t>
            </w:r>
          </w:p>
        </w:tc>
        <w:tc>
          <w:tcPr>
            <w:tcW w:w="543" w:type="dxa"/>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2F33D6">
            <w:pPr>
              <w:tabs>
                <w:tab w:val="left" w:pos="2016"/>
                <w:tab w:val="left" w:pos="2448"/>
              </w:tabs>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(2)</w:t>
            </w:r>
          </w:p>
        </w:tc>
        <w:tc>
          <w:tcPr>
            <w:tcW w:w="6810" w:type="dxa"/>
          </w:tcPr>
          <w:p w:rsidR="007872E7" w:rsidRPr="00E31C26" w:rsidRDefault="007872E7" w:rsidP="002F33D6">
            <w:pPr>
              <w:tabs>
                <w:tab w:val="left" w:pos="2016"/>
                <w:tab w:val="left" w:pos="2448"/>
              </w:tabs>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Bu (Değişiklik) Yasası ile kaldırılan kadrolarda görev yapan kamu görevlileri hakkında Kamu Görevlileri Yasasının kadroları kaldırılan kamu görevlileri ile ilgili madde kuralları uygulanır.</w:t>
            </w: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12/1982</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44/1982</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42/1983</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5/1984</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29/1984</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50/1984</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2/1985</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10/1986</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13/1986</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30/1986</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31/1987</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11/1988</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33/1988</w:t>
            </w:r>
          </w:p>
          <w:p w:rsidR="007872E7" w:rsidRPr="00E31C26" w:rsidRDefault="007872E7" w:rsidP="00EA4976">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13/1989</w:t>
            </w:r>
          </w:p>
          <w:p w:rsidR="007872E7" w:rsidRPr="00E31C26" w:rsidRDefault="007872E7" w:rsidP="00EA4976">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34/1989</w:t>
            </w:r>
          </w:p>
          <w:p w:rsidR="007872E7" w:rsidRPr="00E31C26" w:rsidRDefault="007872E7" w:rsidP="00EA4976">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73/1989</w:t>
            </w:r>
          </w:p>
          <w:p w:rsidR="007872E7" w:rsidRPr="00E31C26" w:rsidRDefault="007872E7" w:rsidP="00EA4976">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8/1990</w:t>
            </w:r>
          </w:p>
          <w:p w:rsidR="007872E7" w:rsidRPr="00E31C26" w:rsidRDefault="007872E7" w:rsidP="00EA4976">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19/1990</w:t>
            </w:r>
          </w:p>
          <w:p w:rsidR="007872E7" w:rsidRPr="00E31C26" w:rsidRDefault="007872E7" w:rsidP="00EA4976">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42/1990</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49/1990</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11/1991</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85/1991</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11/1992</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35/1992</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3/1993</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62/1993</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10/1994</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15/1994</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53/1994</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18/1995</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12/1996</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19/1996</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32/1996</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lastRenderedPageBreak/>
              <w:t xml:space="preserve">      14/1997</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24/1997</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13/1998</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40/1998</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6/1999</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48/1999</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4/2000</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15/2000</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20/2001</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43/2001</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25/2002</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60/2002</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3/2003</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43/2003</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63/2003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69/2003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5/2004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35/2004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20/2005</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32/2005</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59/2005</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10/2006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44/2006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72/2006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3/2007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57/2007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97/2007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11/2008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23/2008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34/2008</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54/2008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82/2009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48/2010 </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3/2011</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13/2011</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20/2013</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34/2013</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19/2014</w:t>
            </w:r>
          </w:p>
          <w:p w:rsidR="007872E7" w:rsidRPr="00E31C26" w:rsidRDefault="007872E7" w:rsidP="00F51277">
            <w:pPr>
              <w:spacing w:after="0" w:line="240" w:lineRule="auto"/>
              <w:jc w:val="center"/>
              <w:rPr>
                <w:rFonts w:ascii="Times New Roman" w:hAnsi="Times New Roman" w:cs="Times New Roman"/>
                <w:sz w:val="24"/>
                <w:szCs w:val="24"/>
              </w:rPr>
            </w:pPr>
            <w:r w:rsidRPr="00E31C26">
              <w:rPr>
                <w:rFonts w:ascii="Times New Roman" w:hAnsi="Times New Roman" w:cs="Times New Roman"/>
                <w:sz w:val="24"/>
                <w:szCs w:val="24"/>
              </w:rPr>
              <w:t xml:space="preserve">         3/2015</w:t>
            </w:r>
          </w:p>
          <w:p w:rsidR="007872E7" w:rsidRPr="00E31C26" w:rsidRDefault="007872E7" w:rsidP="00F51277">
            <w:pPr>
              <w:tabs>
                <w:tab w:val="left" w:pos="2016"/>
                <w:tab w:val="left" w:pos="2448"/>
              </w:tabs>
              <w:spacing w:after="0" w:line="240" w:lineRule="auto"/>
              <w:rPr>
                <w:rFonts w:ascii="Times New Roman" w:hAnsi="Times New Roman" w:cs="Times New Roman"/>
                <w:sz w:val="24"/>
                <w:szCs w:val="24"/>
              </w:rPr>
            </w:pPr>
            <w:r w:rsidRPr="00E31C26">
              <w:rPr>
                <w:rFonts w:ascii="Times New Roman" w:hAnsi="Times New Roman" w:cs="Times New Roman"/>
                <w:sz w:val="24"/>
                <w:szCs w:val="24"/>
              </w:rPr>
              <w:t xml:space="preserve">         48/2015</w:t>
            </w:r>
          </w:p>
        </w:tc>
        <w:tc>
          <w:tcPr>
            <w:tcW w:w="543" w:type="dxa"/>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2F33D6">
            <w:pPr>
              <w:tabs>
                <w:tab w:val="left" w:pos="2016"/>
                <w:tab w:val="left" w:pos="2448"/>
              </w:tabs>
              <w:spacing w:after="0" w:line="240" w:lineRule="auto"/>
              <w:jc w:val="both"/>
              <w:rPr>
                <w:rFonts w:ascii="Times New Roman" w:hAnsi="Times New Roman" w:cs="Times New Roman"/>
                <w:sz w:val="24"/>
                <w:szCs w:val="24"/>
              </w:rPr>
            </w:pPr>
          </w:p>
        </w:tc>
        <w:tc>
          <w:tcPr>
            <w:tcW w:w="6810" w:type="dxa"/>
          </w:tcPr>
          <w:p w:rsidR="007872E7" w:rsidRPr="00E31C26" w:rsidRDefault="007872E7" w:rsidP="002F33D6">
            <w:pPr>
              <w:tabs>
                <w:tab w:val="left" w:pos="2016"/>
                <w:tab w:val="left" w:pos="2448"/>
              </w:tabs>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300ADA">
            <w:pPr>
              <w:tabs>
                <w:tab w:val="left" w:pos="2016"/>
                <w:tab w:val="left" w:pos="2448"/>
              </w:tabs>
              <w:spacing w:after="0" w:line="240" w:lineRule="auto"/>
              <w:rPr>
                <w:rFonts w:ascii="Times New Roman" w:hAnsi="Times New Roman" w:cs="Times New Roman"/>
                <w:sz w:val="24"/>
                <w:szCs w:val="24"/>
              </w:rPr>
            </w:pPr>
          </w:p>
        </w:tc>
        <w:tc>
          <w:tcPr>
            <w:tcW w:w="543" w:type="dxa"/>
          </w:tcPr>
          <w:p w:rsidR="007872E7" w:rsidRPr="00E31C26" w:rsidRDefault="007872E7" w:rsidP="00AF77EB">
            <w:pPr>
              <w:spacing w:after="0" w:line="240" w:lineRule="auto"/>
              <w:jc w:val="center"/>
              <w:rPr>
                <w:rFonts w:ascii="Times New Roman" w:hAnsi="Times New Roman" w:cs="Times New Roman"/>
                <w:sz w:val="24"/>
                <w:szCs w:val="24"/>
              </w:rPr>
            </w:pPr>
          </w:p>
        </w:tc>
        <w:tc>
          <w:tcPr>
            <w:tcW w:w="567" w:type="dxa"/>
          </w:tcPr>
          <w:p w:rsidR="007872E7" w:rsidRPr="00E31C26" w:rsidRDefault="007872E7" w:rsidP="002F33D6">
            <w:pPr>
              <w:tabs>
                <w:tab w:val="left" w:pos="2016"/>
                <w:tab w:val="left" w:pos="2448"/>
              </w:tabs>
              <w:spacing w:after="0" w:line="240" w:lineRule="auto"/>
              <w:jc w:val="both"/>
              <w:rPr>
                <w:rFonts w:ascii="Times New Roman" w:hAnsi="Times New Roman" w:cs="Times New Roman"/>
                <w:sz w:val="24"/>
                <w:szCs w:val="24"/>
              </w:rPr>
            </w:pPr>
          </w:p>
        </w:tc>
        <w:tc>
          <w:tcPr>
            <w:tcW w:w="6810" w:type="dxa"/>
          </w:tcPr>
          <w:p w:rsidR="007872E7" w:rsidRPr="00E31C26" w:rsidRDefault="007872E7" w:rsidP="002F33D6">
            <w:pPr>
              <w:tabs>
                <w:tab w:val="left" w:pos="2016"/>
                <w:tab w:val="left" w:pos="2448"/>
              </w:tabs>
              <w:spacing w:after="0" w:line="240" w:lineRule="auto"/>
              <w:jc w:val="both"/>
              <w:rPr>
                <w:rFonts w:ascii="Times New Roman" w:hAnsi="Times New Roman" w:cs="Times New Roman"/>
                <w:sz w:val="24"/>
                <w:szCs w:val="24"/>
              </w:rPr>
            </w:pPr>
          </w:p>
        </w:tc>
      </w:tr>
      <w:tr w:rsidR="007872E7" w:rsidRPr="00E31C26" w:rsidTr="00ED75AB">
        <w:tblPrEx>
          <w:tblLook w:val="00A0" w:firstRow="1" w:lastRow="0" w:firstColumn="1" w:lastColumn="0" w:noHBand="0" w:noVBand="0"/>
        </w:tblPrEx>
        <w:trPr>
          <w:gridAfter w:val="1"/>
          <w:wAfter w:w="428" w:type="dxa"/>
        </w:trPr>
        <w:tc>
          <w:tcPr>
            <w:tcW w:w="1690" w:type="dxa"/>
            <w:gridSpan w:val="2"/>
          </w:tcPr>
          <w:p w:rsidR="007872E7" w:rsidRPr="00E31C26" w:rsidRDefault="007872E7" w:rsidP="00300ADA">
            <w:pPr>
              <w:spacing w:after="0" w:line="240" w:lineRule="auto"/>
              <w:rPr>
                <w:rFonts w:ascii="Times New Roman" w:hAnsi="Times New Roman" w:cs="Times New Roman"/>
                <w:sz w:val="24"/>
                <w:szCs w:val="24"/>
              </w:rPr>
            </w:pPr>
            <w:r w:rsidRPr="00E31C26">
              <w:rPr>
                <w:rFonts w:ascii="Times New Roman" w:hAnsi="Times New Roman" w:cs="Times New Roman"/>
                <w:sz w:val="24"/>
                <w:szCs w:val="24"/>
              </w:rPr>
              <w:t>Yürürlüğe Giriş</w:t>
            </w:r>
          </w:p>
        </w:tc>
        <w:tc>
          <w:tcPr>
            <w:tcW w:w="7920" w:type="dxa"/>
            <w:gridSpan w:val="3"/>
          </w:tcPr>
          <w:p w:rsidR="007872E7" w:rsidRPr="00E31C26" w:rsidRDefault="007872E7" w:rsidP="00300ADA">
            <w:pPr>
              <w:spacing w:after="0" w:line="240" w:lineRule="auto"/>
              <w:jc w:val="both"/>
              <w:rPr>
                <w:rFonts w:ascii="Times New Roman" w:hAnsi="Times New Roman" w:cs="Times New Roman"/>
                <w:sz w:val="24"/>
                <w:szCs w:val="24"/>
              </w:rPr>
            </w:pPr>
            <w:r w:rsidRPr="00E31C26">
              <w:rPr>
                <w:rFonts w:ascii="Times New Roman" w:hAnsi="Times New Roman" w:cs="Times New Roman"/>
                <w:sz w:val="24"/>
                <w:szCs w:val="24"/>
              </w:rPr>
              <w:t>5. Bu Yasa, Resmi Gazete’de yayımlandığı tarihten başlayarak yürürlüğe girer.</w:t>
            </w:r>
          </w:p>
          <w:p w:rsidR="007872E7" w:rsidRPr="00E31C26" w:rsidRDefault="007872E7" w:rsidP="00300ADA">
            <w:pPr>
              <w:spacing w:after="0" w:line="240" w:lineRule="auto"/>
              <w:jc w:val="both"/>
              <w:rPr>
                <w:rFonts w:ascii="Times New Roman" w:hAnsi="Times New Roman" w:cs="Times New Roman"/>
                <w:sz w:val="24"/>
                <w:szCs w:val="24"/>
              </w:rPr>
            </w:pPr>
          </w:p>
        </w:tc>
      </w:tr>
    </w:tbl>
    <w:p w:rsidR="007872E7" w:rsidRPr="00E31C26" w:rsidRDefault="007872E7">
      <w:pPr>
        <w:rPr>
          <w:rFonts w:ascii="Times New Roman" w:hAnsi="Times New Roman" w:cs="Times New Roman"/>
          <w:sz w:val="24"/>
          <w:szCs w:val="24"/>
        </w:rPr>
      </w:pPr>
    </w:p>
    <w:sectPr w:rsidR="007872E7" w:rsidRPr="00E31C26" w:rsidSect="005F78C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37" w:rsidRDefault="00DD3137">
      <w:r>
        <w:separator/>
      </w:r>
    </w:p>
  </w:endnote>
  <w:endnote w:type="continuationSeparator" w:id="0">
    <w:p w:rsidR="00DD3137" w:rsidRDefault="00DD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E7" w:rsidRDefault="007872E7" w:rsidP="002A199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5AB">
      <w:rPr>
        <w:rStyle w:val="PageNumber"/>
        <w:noProof/>
      </w:rPr>
      <w:t>3</w:t>
    </w:r>
    <w:r>
      <w:rPr>
        <w:rStyle w:val="PageNumber"/>
      </w:rPr>
      <w:fldChar w:fldCharType="end"/>
    </w:r>
  </w:p>
  <w:p w:rsidR="007872E7" w:rsidRDefault="00787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37" w:rsidRDefault="00DD3137">
      <w:r>
        <w:separator/>
      </w:r>
    </w:p>
  </w:footnote>
  <w:footnote w:type="continuationSeparator" w:id="0">
    <w:p w:rsidR="00DD3137" w:rsidRDefault="00DD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D6"/>
    <w:rsid w:val="000067E9"/>
    <w:rsid w:val="0001215F"/>
    <w:rsid w:val="00012291"/>
    <w:rsid w:val="000617B7"/>
    <w:rsid w:val="00061F24"/>
    <w:rsid w:val="00062AB7"/>
    <w:rsid w:val="000750CE"/>
    <w:rsid w:val="00075145"/>
    <w:rsid w:val="000810CB"/>
    <w:rsid w:val="00083F04"/>
    <w:rsid w:val="000A20DD"/>
    <w:rsid w:val="000B5F99"/>
    <w:rsid w:val="000D40A7"/>
    <w:rsid w:val="00104916"/>
    <w:rsid w:val="00120158"/>
    <w:rsid w:val="00130EA5"/>
    <w:rsid w:val="00150422"/>
    <w:rsid w:val="00154881"/>
    <w:rsid w:val="001A0423"/>
    <w:rsid w:val="001A466B"/>
    <w:rsid w:val="001B7F79"/>
    <w:rsid w:val="001E0672"/>
    <w:rsid w:val="00203851"/>
    <w:rsid w:val="0021083D"/>
    <w:rsid w:val="0021570E"/>
    <w:rsid w:val="002214F2"/>
    <w:rsid w:val="00237C92"/>
    <w:rsid w:val="00237E28"/>
    <w:rsid w:val="0025587F"/>
    <w:rsid w:val="002571BA"/>
    <w:rsid w:val="0026334C"/>
    <w:rsid w:val="00295BB1"/>
    <w:rsid w:val="002A0370"/>
    <w:rsid w:val="002A1992"/>
    <w:rsid w:val="002D2B59"/>
    <w:rsid w:val="002D352C"/>
    <w:rsid w:val="002F33D6"/>
    <w:rsid w:val="00300ADA"/>
    <w:rsid w:val="003328A2"/>
    <w:rsid w:val="00335353"/>
    <w:rsid w:val="00396741"/>
    <w:rsid w:val="003C272A"/>
    <w:rsid w:val="003C30BC"/>
    <w:rsid w:val="003F5C3D"/>
    <w:rsid w:val="004121D6"/>
    <w:rsid w:val="00416272"/>
    <w:rsid w:val="004567C3"/>
    <w:rsid w:val="00465EF7"/>
    <w:rsid w:val="00470BCC"/>
    <w:rsid w:val="004B041F"/>
    <w:rsid w:val="004D01A0"/>
    <w:rsid w:val="004F31E6"/>
    <w:rsid w:val="00500FF9"/>
    <w:rsid w:val="00504099"/>
    <w:rsid w:val="00525AA7"/>
    <w:rsid w:val="00557462"/>
    <w:rsid w:val="00567272"/>
    <w:rsid w:val="005765DC"/>
    <w:rsid w:val="005C160C"/>
    <w:rsid w:val="005F78C5"/>
    <w:rsid w:val="006101E9"/>
    <w:rsid w:val="00620DDF"/>
    <w:rsid w:val="00647F80"/>
    <w:rsid w:val="006608CE"/>
    <w:rsid w:val="00661495"/>
    <w:rsid w:val="00662FFD"/>
    <w:rsid w:val="0066306B"/>
    <w:rsid w:val="00664C03"/>
    <w:rsid w:val="00671F1A"/>
    <w:rsid w:val="006830EF"/>
    <w:rsid w:val="006875F6"/>
    <w:rsid w:val="006D2926"/>
    <w:rsid w:val="00711EA6"/>
    <w:rsid w:val="007670AB"/>
    <w:rsid w:val="007872E7"/>
    <w:rsid w:val="00793D00"/>
    <w:rsid w:val="007A2B4D"/>
    <w:rsid w:val="007B0762"/>
    <w:rsid w:val="007E1AFE"/>
    <w:rsid w:val="00802A5E"/>
    <w:rsid w:val="00817DF7"/>
    <w:rsid w:val="008532C2"/>
    <w:rsid w:val="008637B1"/>
    <w:rsid w:val="008B2678"/>
    <w:rsid w:val="008F70D0"/>
    <w:rsid w:val="00925A94"/>
    <w:rsid w:val="00937628"/>
    <w:rsid w:val="009479D3"/>
    <w:rsid w:val="00995CAE"/>
    <w:rsid w:val="009A12B2"/>
    <w:rsid w:val="009A3607"/>
    <w:rsid w:val="009A59CF"/>
    <w:rsid w:val="009A635C"/>
    <w:rsid w:val="009E6060"/>
    <w:rsid w:val="00A15254"/>
    <w:rsid w:val="00A6482C"/>
    <w:rsid w:val="00A93F4D"/>
    <w:rsid w:val="00A951B4"/>
    <w:rsid w:val="00AA79FF"/>
    <w:rsid w:val="00AF77EB"/>
    <w:rsid w:val="00B2505E"/>
    <w:rsid w:val="00B42D4A"/>
    <w:rsid w:val="00B908D3"/>
    <w:rsid w:val="00BB21A5"/>
    <w:rsid w:val="00BC2533"/>
    <w:rsid w:val="00BD07D6"/>
    <w:rsid w:val="00BE552B"/>
    <w:rsid w:val="00BF1C24"/>
    <w:rsid w:val="00BF2AD6"/>
    <w:rsid w:val="00C10944"/>
    <w:rsid w:val="00C20ED2"/>
    <w:rsid w:val="00C42BB5"/>
    <w:rsid w:val="00C43DEA"/>
    <w:rsid w:val="00C50589"/>
    <w:rsid w:val="00C61301"/>
    <w:rsid w:val="00C61B06"/>
    <w:rsid w:val="00C64BF3"/>
    <w:rsid w:val="00C655D3"/>
    <w:rsid w:val="00C73B54"/>
    <w:rsid w:val="00C95BC8"/>
    <w:rsid w:val="00CA0D76"/>
    <w:rsid w:val="00CB3AA4"/>
    <w:rsid w:val="00CB65B2"/>
    <w:rsid w:val="00CB6E69"/>
    <w:rsid w:val="00CD3D16"/>
    <w:rsid w:val="00D17BC7"/>
    <w:rsid w:val="00D35888"/>
    <w:rsid w:val="00D52EE9"/>
    <w:rsid w:val="00DA2158"/>
    <w:rsid w:val="00DD3137"/>
    <w:rsid w:val="00DD4CC4"/>
    <w:rsid w:val="00DD6891"/>
    <w:rsid w:val="00E01339"/>
    <w:rsid w:val="00E31C26"/>
    <w:rsid w:val="00E3211C"/>
    <w:rsid w:val="00E50A9B"/>
    <w:rsid w:val="00E52241"/>
    <w:rsid w:val="00E52297"/>
    <w:rsid w:val="00E7085B"/>
    <w:rsid w:val="00E8593A"/>
    <w:rsid w:val="00E968EB"/>
    <w:rsid w:val="00EA29B2"/>
    <w:rsid w:val="00EA4976"/>
    <w:rsid w:val="00EC10EA"/>
    <w:rsid w:val="00ED75AB"/>
    <w:rsid w:val="00F2584F"/>
    <w:rsid w:val="00F36638"/>
    <w:rsid w:val="00F411BE"/>
    <w:rsid w:val="00F50CF9"/>
    <w:rsid w:val="00F51277"/>
    <w:rsid w:val="00F60D0E"/>
    <w:rsid w:val="00F61B7E"/>
    <w:rsid w:val="00F8013E"/>
    <w:rsid w:val="00F90332"/>
    <w:rsid w:val="00FE5D31"/>
    <w:rsid w:val="00FF2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A0"/>
    <w:pPr>
      <w:spacing w:after="200" w:line="276" w:lineRule="auto"/>
    </w:pPr>
    <w:rPr>
      <w:rFonts w:cs="Calibri"/>
    </w:rPr>
  </w:style>
  <w:style w:type="paragraph" w:styleId="Heading7">
    <w:name w:val="heading 7"/>
    <w:basedOn w:val="Normal"/>
    <w:next w:val="Normal"/>
    <w:link w:val="Heading7Char"/>
    <w:uiPriority w:val="99"/>
    <w:qFormat/>
    <w:rsid w:val="00012291"/>
    <w:pPr>
      <w:keepNext/>
      <w:tabs>
        <w:tab w:val="left" w:pos="1418"/>
      </w:tabs>
      <w:spacing w:after="0" w:line="240" w:lineRule="auto"/>
      <w:outlineLvl w:val="6"/>
    </w:pPr>
    <w:rPr>
      <w:rFonts w:ascii="Arial" w:hAnsi="Arial" w:cs="Arial"/>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012291"/>
    <w:rPr>
      <w:rFonts w:ascii="Arial" w:hAnsi="Arial" w:cs="Arial"/>
      <w:sz w:val="20"/>
      <w:szCs w:val="20"/>
      <w:u w:val="single"/>
      <w:lang w:eastAsia="en-US"/>
    </w:rPr>
  </w:style>
  <w:style w:type="table" w:styleId="TableGrid">
    <w:name w:val="Table Grid"/>
    <w:basedOn w:val="TableNormal"/>
    <w:uiPriority w:val="99"/>
    <w:rsid w:val="00BD07D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012291"/>
    <w:pPr>
      <w:tabs>
        <w:tab w:val="left" w:pos="1418"/>
      </w:tabs>
      <w:spacing w:after="0" w:line="240" w:lineRule="auto"/>
      <w:ind w:left="1418" w:hanging="1276"/>
      <w:jc w:val="both"/>
    </w:pPr>
    <w:rPr>
      <w:rFonts w:ascii="Arial" w:hAnsi="Arial" w:cs="Arial"/>
      <w:sz w:val="24"/>
      <w:szCs w:val="24"/>
      <w:lang w:eastAsia="en-US"/>
    </w:rPr>
  </w:style>
  <w:style w:type="character" w:customStyle="1" w:styleId="BodyTextIndentChar">
    <w:name w:val="Body Text Indent Char"/>
    <w:basedOn w:val="DefaultParagraphFont"/>
    <w:link w:val="BodyTextIndent"/>
    <w:uiPriority w:val="99"/>
    <w:locked/>
    <w:rsid w:val="00012291"/>
    <w:rPr>
      <w:rFonts w:ascii="Arial" w:hAnsi="Arial" w:cs="Arial"/>
      <w:sz w:val="20"/>
      <w:szCs w:val="20"/>
      <w:lang w:eastAsia="en-US"/>
    </w:rPr>
  </w:style>
  <w:style w:type="paragraph" w:styleId="Footer">
    <w:name w:val="footer"/>
    <w:basedOn w:val="Normal"/>
    <w:link w:val="FooterChar"/>
    <w:uiPriority w:val="99"/>
    <w:rsid w:val="005F78C5"/>
    <w:pPr>
      <w:tabs>
        <w:tab w:val="center" w:pos="4536"/>
        <w:tab w:val="right" w:pos="9072"/>
      </w:tabs>
    </w:pPr>
  </w:style>
  <w:style w:type="character" w:customStyle="1" w:styleId="FooterChar">
    <w:name w:val="Footer Char"/>
    <w:basedOn w:val="DefaultParagraphFont"/>
    <w:link w:val="Footer"/>
    <w:uiPriority w:val="99"/>
    <w:semiHidden/>
    <w:locked/>
    <w:rsid w:val="00E01339"/>
  </w:style>
  <w:style w:type="character" w:styleId="PageNumber">
    <w:name w:val="page number"/>
    <w:basedOn w:val="DefaultParagraphFont"/>
    <w:uiPriority w:val="99"/>
    <w:rsid w:val="005F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A0"/>
    <w:pPr>
      <w:spacing w:after="200" w:line="276" w:lineRule="auto"/>
    </w:pPr>
    <w:rPr>
      <w:rFonts w:cs="Calibri"/>
    </w:rPr>
  </w:style>
  <w:style w:type="paragraph" w:styleId="Heading7">
    <w:name w:val="heading 7"/>
    <w:basedOn w:val="Normal"/>
    <w:next w:val="Normal"/>
    <w:link w:val="Heading7Char"/>
    <w:uiPriority w:val="99"/>
    <w:qFormat/>
    <w:rsid w:val="00012291"/>
    <w:pPr>
      <w:keepNext/>
      <w:tabs>
        <w:tab w:val="left" w:pos="1418"/>
      </w:tabs>
      <w:spacing w:after="0" w:line="240" w:lineRule="auto"/>
      <w:outlineLvl w:val="6"/>
    </w:pPr>
    <w:rPr>
      <w:rFonts w:ascii="Arial" w:hAnsi="Arial" w:cs="Arial"/>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012291"/>
    <w:rPr>
      <w:rFonts w:ascii="Arial" w:hAnsi="Arial" w:cs="Arial"/>
      <w:sz w:val="20"/>
      <w:szCs w:val="20"/>
      <w:u w:val="single"/>
      <w:lang w:eastAsia="en-US"/>
    </w:rPr>
  </w:style>
  <w:style w:type="table" w:styleId="TableGrid">
    <w:name w:val="Table Grid"/>
    <w:basedOn w:val="TableNormal"/>
    <w:uiPriority w:val="99"/>
    <w:rsid w:val="00BD07D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012291"/>
    <w:pPr>
      <w:tabs>
        <w:tab w:val="left" w:pos="1418"/>
      </w:tabs>
      <w:spacing w:after="0" w:line="240" w:lineRule="auto"/>
      <w:ind w:left="1418" w:hanging="1276"/>
      <w:jc w:val="both"/>
    </w:pPr>
    <w:rPr>
      <w:rFonts w:ascii="Arial" w:hAnsi="Arial" w:cs="Arial"/>
      <w:sz w:val="24"/>
      <w:szCs w:val="24"/>
      <w:lang w:eastAsia="en-US"/>
    </w:rPr>
  </w:style>
  <w:style w:type="character" w:customStyle="1" w:styleId="BodyTextIndentChar">
    <w:name w:val="Body Text Indent Char"/>
    <w:basedOn w:val="DefaultParagraphFont"/>
    <w:link w:val="BodyTextIndent"/>
    <w:uiPriority w:val="99"/>
    <w:locked/>
    <w:rsid w:val="00012291"/>
    <w:rPr>
      <w:rFonts w:ascii="Arial" w:hAnsi="Arial" w:cs="Arial"/>
      <w:sz w:val="20"/>
      <w:szCs w:val="20"/>
      <w:lang w:eastAsia="en-US"/>
    </w:rPr>
  </w:style>
  <w:style w:type="paragraph" w:styleId="Footer">
    <w:name w:val="footer"/>
    <w:basedOn w:val="Normal"/>
    <w:link w:val="FooterChar"/>
    <w:uiPriority w:val="99"/>
    <w:rsid w:val="005F78C5"/>
    <w:pPr>
      <w:tabs>
        <w:tab w:val="center" w:pos="4536"/>
        <w:tab w:val="right" w:pos="9072"/>
      </w:tabs>
    </w:pPr>
  </w:style>
  <w:style w:type="character" w:customStyle="1" w:styleId="FooterChar">
    <w:name w:val="Footer Char"/>
    <w:basedOn w:val="DefaultParagraphFont"/>
    <w:link w:val="Footer"/>
    <w:uiPriority w:val="99"/>
    <w:semiHidden/>
    <w:locked/>
    <w:rsid w:val="00E01339"/>
  </w:style>
  <w:style w:type="character" w:styleId="PageNumber">
    <w:name w:val="page number"/>
    <w:basedOn w:val="DefaultParagraphFont"/>
    <w:uiPriority w:val="99"/>
    <w:rsid w:val="005F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GELİR VE VERGİ DAİRESİ (KURULUŞ, GÖREV VE ÇALIŞMA ESASLARI) (DEĞİŞİKLİK) YASA TASARISI’NIN</vt:lpstr>
    </vt:vector>
  </TitlesOfParts>
  <Company>OEM</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GELİR VE VERGİ DAİRESİ (KURULUŞ, GÖREV VE ÇALIŞMA ESASLARI) (DEĞİŞİKLİK) YASA TASARISI’NIN</dc:title>
  <dc:creator>OEM</dc:creator>
  <cp:lastModifiedBy>nedret argun</cp:lastModifiedBy>
  <cp:revision>3</cp:revision>
  <cp:lastPrinted>2015-05-05T12:03:00Z</cp:lastPrinted>
  <dcterms:created xsi:type="dcterms:W3CDTF">2016-05-30T06:34:00Z</dcterms:created>
  <dcterms:modified xsi:type="dcterms:W3CDTF">2016-05-30T06:35:00Z</dcterms:modified>
</cp:coreProperties>
</file>