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8" w:type="dxa"/>
        <w:tblLook w:val="01E0" w:firstRow="1" w:lastRow="1" w:firstColumn="1" w:lastColumn="1" w:noHBand="0" w:noVBand="0"/>
      </w:tblPr>
      <w:tblGrid>
        <w:gridCol w:w="9378"/>
      </w:tblGrid>
      <w:tr w:rsidR="002C519E" w:rsidRPr="002C519E" w:rsidTr="002C519E">
        <w:tc>
          <w:tcPr>
            <w:tcW w:w="9378" w:type="dxa"/>
            <w:hideMark/>
          </w:tcPr>
          <w:p w:rsidR="002C519E" w:rsidRPr="002C519E" w:rsidRDefault="002C519E" w:rsidP="002C519E">
            <w:pPr>
              <w:jc w:val="both"/>
              <w:rPr>
                <w:rFonts w:ascii="Times New Roman" w:hAnsi="Times New Roman" w:cs="Times New Roman"/>
                <w:sz w:val="24"/>
                <w:szCs w:val="24"/>
              </w:rPr>
            </w:pPr>
            <w:r w:rsidRPr="002C519E">
              <w:rPr>
                <w:rFonts w:ascii="Times New Roman" w:hAnsi="Times New Roman" w:cs="Times New Roman"/>
                <w:sz w:val="24"/>
                <w:szCs w:val="24"/>
              </w:rPr>
              <w:t>Kuzey Kıbrıs Türk Cumh</w:t>
            </w:r>
            <w:r>
              <w:rPr>
                <w:rFonts w:ascii="Times New Roman" w:hAnsi="Times New Roman" w:cs="Times New Roman"/>
                <w:sz w:val="24"/>
                <w:szCs w:val="24"/>
              </w:rPr>
              <w:t>uriyeti Cumhuriyet Meclisi’nin 16</w:t>
            </w:r>
            <w:r w:rsidRPr="002C519E">
              <w:rPr>
                <w:rFonts w:ascii="Times New Roman" w:hAnsi="Times New Roman" w:cs="Times New Roman"/>
                <w:sz w:val="24"/>
                <w:szCs w:val="24"/>
              </w:rPr>
              <w:t xml:space="preserve"> Mayıs 2016 tarihli </w:t>
            </w:r>
            <w:r>
              <w:rPr>
                <w:rFonts w:ascii="Times New Roman" w:hAnsi="Times New Roman" w:cs="Times New Roman"/>
                <w:sz w:val="24"/>
                <w:szCs w:val="24"/>
              </w:rPr>
              <w:t>Altmışüçüncü</w:t>
            </w:r>
            <w:r w:rsidRPr="002C519E">
              <w:rPr>
                <w:rFonts w:ascii="Times New Roman" w:hAnsi="Times New Roman" w:cs="Times New Roman"/>
                <w:sz w:val="24"/>
                <w:szCs w:val="24"/>
              </w:rPr>
              <w:t xml:space="preserve">   Birleşiminde Oybirliğiyle kabul olunan “</w:t>
            </w:r>
            <w:r w:rsidRPr="006A3036">
              <w:rPr>
                <w:rFonts w:ascii="Times New Roman" w:hAnsi="Times New Roman" w:cs="Times New Roman"/>
                <w:sz w:val="24"/>
                <w:szCs w:val="24"/>
              </w:rPr>
              <w:t>Bakanlıkların Kuruluş İlkeleri (Değişiklik) Yasası</w:t>
            </w:r>
            <w:r w:rsidRPr="002C519E">
              <w:rPr>
                <w:rFonts w:ascii="Times New Roman" w:hAnsi="Times New Roman" w:cs="Times New Roman"/>
                <w:sz w:val="24"/>
                <w:szCs w:val="24"/>
              </w:rPr>
              <w:t>” Anayasanın 94’üncü maddesinin (1)’inci fıkrası gereğince Kuzey Kıbrıs Türk Cumhuriyeti Cumhurbaşkanı tarafından Resmi Gazete’de yayımlanmak suretiyle ilan olunur.</w:t>
            </w:r>
          </w:p>
        </w:tc>
      </w:tr>
      <w:tr w:rsidR="002C519E" w:rsidRPr="002C519E" w:rsidTr="002C519E">
        <w:tc>
          <w:tcPr>
            <w:tcW w:w="9378" w:type="dxa"/>
          </w:tcPr>
          <w:p w:rsidR="002C519E" w:rsidRDefault="002C519E">
            <w:pPr>
              <w:jc w:val="center"/>
              <w:rPr>
                <w:rFonts w:ascii="Times New Roman" w:hAnsi="Times New Roman" w:cs="Times New Roman"/>
                <w:sz w:val="24"/>
                <w:szCs w:val="24"/>
              </w:rPr>
            </w:pPr>
          </w:p>
        </w:tc>
      </w:tr>
      <w:tr w:rsidR="002C519E" w:rsidRPr="002C519E" w:rsidTr="002C519E">
        <w:tc>
          <w:tcPr>
            <w:tcW w:w="9378" w:type="dxa"/>
            <w:hideMark/>
          </w:tcPr>
          <w:p w:rsidR="002C519E" w:rsidRPr="002C519E" w:rsidRDefault="002C519E">
            <w:pPr>
              <w:jc w:val="center"/>
              <w:rPr>
                <w:rFonts w:ascii="Times New Roman" w:hAnsi="Times New Roman" w:cs="Times New Roman"/>
                <w:sz w:val="24"/>
                <w:szCs w:val="24"/>
              </w:rPr>
            </w:pPr>
            <w:bookmarkStart w:id="0" w:name="_GoBack"/>
            <w:r w:rsidRPr="002C519E">
              <w:rPr>
                <w:rFonts w:ascii="Times New Roman" w:hAnsi="Times New Roman" w:cs="Times New Roman"/>
                <w:sz w:val="24"/>
                <w:szCs w:val="24"/>
              </w:rPr>
              <w:t>Sayı: 26</w:t>
            </w:r>
            <w:r w:rsidRPr="002C519E">
              <w:rPr>
                <w:rFonts w:ascii="Times New Roman" w:hAnsi="Times New Roman" w:cs="Times New Roman"/>
                <w:sz w:val="24"/>
                <w:szCs w:val="24"/>
              </w:rPr>
              <w:t>/2016</w:t>
            </w:r>
            <w:bookmarkEnd w:id="0"/>
          </w:p>
        </w:tc>
      </w:tr>
    </w:tbl>
    <w:p w:rsidR="00AC08BB" w:rsidRDefault="00AC08BB" w:rsidP="00C17DB5">
      <w:pPr>
        <w:spacing w:after="0" w:line="240" w:lineRule="auto"/>
        <w:jc w:val="both"/>
        <w:rPr>
          <w:rFonts w:ascii="Times New Roman" w:hAnsi="Times New Roman" w:cs="Times New Roman"/>
          <w:sz w:val="24"/>
          <w:szCs w:val="24"/>
        </w:rPr>
      </w:pPr>
    </w:p>
    <w:p w:rsidR="002C519E" w:rsidRPr="006A3036" w:rsidRDefault="002C519E" w:rsidP="00C17DB5">
      <w:pPr>
        <w:spacing w:after="0" w:line="240" w:lineRule="auto"/>
        <w:jc w:val="both"/>
        <w:rPr>
          <w:rFonts w:ascii="Times New Roman" w:hAnsi="Times New Roman" w:cs="Times New Roman"/>
          <w:sz w:val="24"/>
          <w:szCs w:val="24"/>
        </w:rPr>
      </w:pPr>
    </w:p>
    <w:tbl>
      <w:tblPr>
        <w:tblW w:w="9485" w:type="dxa"/>
        <w:jc w:val="center"/>
        <w:tblLayout w:type="fixed"/>
        <w:tblLook w:val="01E0" w:firstRow="1" w:lastRow="1" w:firstColumn="1" w:lastColumn="1" w:noHBand="0" w:noVBand="0"/>
      </w:tblPr>
      <w:tblGrid>
        <w:gridCol w:w="1647"/>
        <w:gridCol w:w="540"/>
        <w:gridCol w:w="720"/>
        <w:gridCol w:w="6578"/>
      </w:tblGrid>
      <w:tr w:rsidR="00AC08BB" w:rsidRPr="006A3036">
        <w:trPr>
          <w:trHeight w:val="530"/>
          <w:jc w:val="center"/>
        </w:trPr>
        <w:tc>
          <w:tcPr>
            <w:tcW w:w="9485" w:type="dxa"/>
            <w:gridSpan w:val="4"/>
          </w:tcPr>
          <w:p w:rsidR="00AC08BB" w:rsidRPr="006A3036" w:rsidRDefault="00AC08BB" w:rsidP="00A10567">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BAKANLIKLARIN KURULUŞ İLKELERİ (DEĞİŞİKLİK)</w:t>
            </w:r>
          </w:p>
          <w:p w:rsidR="00AC08BB" w:rsidRPr="006A3036" w:rsidRDefault="00AC08BB" w:rsidP="00A10567">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YASASI</w:t>
            </w:r>
          </w:p>
        </w:tc>
      </w:tr>
      <w:tr w:rsidR="00AC08BB" w:rsidRPr="006A3036">
        <w:trPr>
          <w:trHeight w:val="249"/>
          <w:jc w:val="center"/>
        </w:trPr>
        <w:tc>
          <w:tcPr>
            <w:tcW w:w="1647" w:type="dxa"/>
          </w:tcPr>
          <w:p w:rsidR="00AC08BB" w:rsidRPr="006A3036" w:rsidRDefault="00AC08BB" w:rsidP="005D3147">
            <w:pPr>
              <w:spacing w:after="0" w:line="240" w:lineRule="auto"/>
              <w:rPr>
                <w:rFonts w:ascii="Times New Roman" w:hAnsi="Times New Roman" w:cs="Times New Roman"/>
                <w:sz w:val="24"/>
                <w:szCs w:val="24"/>
              </w:rPr>
            </w:pPr>
          </w:p>
        </w:tc>
        <w:tc>
          <w:tcPr>
            <w:tcW w:w="7838" w:type="dxa"/>
            <w:gridSpan w:val="3"/>
          </w:tcPr>
          <w:p w:rsidR="00AC08BB" w:rsidRPr="006A3036" w:rsidRDefault="00AC08BB" w:rsidP="00A10567">
            <w:pPr>
              <w:spacing w:after="0" w:line="240" w:lineRule="auto"/>
              <w:jc w:val="center"/>
              <w:rPr>
                <w:rFonts w:ascii="Times New Roman" w:hAnsi="Times New Roman" w:cs="Times New Roman"/>
                <w:sz w:val="24"/>
                <w:szCs w:val="24"/>
              </w:rPr>
            </w:pPr>
          </w:p>
        </w:tc>
      </w:tr>
      <w:tr w:rsidR="00AC08BB" w:rsidRPr="006A3036">
        <w:trPr>
          <w:trHeight w:val="257"/>
          <w:jc w:val="center"/>
        </w:trPr>
        <w:tc>
          <w:tcPr>
            <w:tcW w:w="1647" w:type="dxa"/>
          </w:tcPr>
          <w:p w:rsidR="00AC08BB" w:rsidRPr="006A3036" w:rsidRDefault="00AC08BB" w:rsidP="005D3147">
            <w:pPr>
              <w:spacing w:after="0" w:line="240" w:lineRule="auto"/>
              <w:rPr>
                <w:rFonts w:ascii="Times New Roman" w:hAnsi="Times New Roman" w:cs="Times New Roman"/>
                <w:sz w:val="24"/>
                <w:szCs w:val="24"/>
              </w:rPr>
            </w:pPr>
          </w:p>
        </w:tc>
        <w:tc>
          <w:tcPr>
            <w:tcW w:w="7838" w:type="dxa"/>
            <w:gridSpan w:val="3"/>
          </w:tcPr>
          <w:p w:rsidR="00AC08BB" w:rsidRPr="006A3036" w:rsidRDefault="00AC08BB" w:rsidP="00A10567">
            <w:pPr>
              <w:spacing w:after="0" w:line="240" w:lineRule="auto"/>
              <w:jc w:val="center"/>
              <w:rPr>
                <w:rFonts w:ascii="Times New Roman" w:hAnsi="Times New Roman" w:cs="Times New Roman"/>
                <w:sz w:val="24"/>
                <w:szCs w:val="24"/>
              </w:rPr>
            </w:pPr>
          </w:p>
        </w:tc>
      </w:tr>
      <w:tr w:rsidR="00AC08BB" w:rsidRPr="006A3036">
        <w:trPr>
          <w:trHeight w:val="530"/>
          <w:jc w:val="center"/>
        </w:trPr>
        <w:tc>
          <w:tcPr>
            <w:tcW w:w="1647" w:type="dxa"/>
          </w:tcPr>
          <w:p w:rsidR="00AC08BB" w:rsidRPr="006A3036" w:rsidRDefault="00AC08BB" w:rsidP="005D3147">
            <w:pPr>
              <w:spacing w:after="0" w:line="240" w:lineRule="auto"/>
              <w:rPr>
                <w:rFonts w:ascii="Times New Roman" w:hAnsi="Times New Roman" w:cs="Times New Roman"/>
                <w:sz w:val="24"/>
                <w:szCs w:val="24"/>
              </w:rPr>
            </w:pPr>
          </w:p>
        </w:tc>
        <w:tc>
          <w:tcPr>
            <w:tcW w:w="7838" w:type="dxa"/>
            <w:gridSpan w:val="3"/>
          </w:tcPr>
          <w:p w:rsidR="00AC08BB" w:rsidRPr="006A3036" w:rsidRDefault="00AC08BB" w:rsidP="005D3147">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Kuzey Kıbrıs Türk Cumhuriyeti Cumhuriyet Meclisi aşağıdaki Yasayı yapar:</w:t>
            </w:r>
          </w:p>
        </w:tc>
      </w:tr>
      <w:tr w:rsidR="00AC08BB" w:rsidRPr="006A3036">
        <w:trPr>
          <w:trHeight w:val="222"/>
          <w:jc w:val="center"/>
        </w:trPr>
        <w:tc>
          <w:tcPr>
            <w:tcW w:w="1647" w:type="dxa"/>
          </w:tcPr>
          <w:p w:rsidR="00AC08BB" w:rsidRPr="006A3036" w:rsidRDefault="00AC08BB" w:rsidP="005D3147">
            <w:pPr>
              <w:spacing w:after="0" w:line="240" w:lineRule="auto"/>
              <w:rPr>
                <w:rFonts w:ascii="Times New Roman" w:hAnsi="Times New Roman" w:cs="Times New Roman"/>
                <w:sz w:val="24"/>
                <w:szCs w:val="24"/>
              </w:rPr>
            </w:pPr>
          </w:p>
        </w:tc>
        <w:tc>
          <w:tcPr>
            <w:tcW w:w="7838" w:type="dxa"/>
            <w:gridSpan w:val="3"/>
          </w:tcPr>
          <w:p w:rsidR="00AC08BB" w:rsidRPr="006A3036" w:rsidRDefault="00AC08BB" w:rsidP="005D3147">
            <w:pPr>
              <w:spacing w:after="0" w:line="240" w:lineRule="auto"/>
              <w:rPr>
                <w:rFonts w:ascii="Times New Roman" w:hAnsi="Times New Roman" w:cs="Times New Roman"/>
                <w:sz w:val="24"/>
                <w:szCs w:val="24"/>
              </w:rPr>
            </w:pPr>
          </w:p>
        </w:tc>
      </w:tr>
      <w:tr w:rsidR="00AC08BB" w:rsidRPr="006A3036">
        <w:trPr>
          <w:trHeight w:val="5333"/>
          <w:jc w:val="center"/>
        </w:trPr>
        <w:tc>
          <w:tcPr>
            <w:tcW w:w="1647" w:type="dxa"/>
          </w:tcPr>
          <w:p w:rsidR="00AC08BB" w:rsidRPr="006A3036" w:rsidRDefault="00AC08BB" w:rsidP="005D3147">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Kısa İsim</w:t>
            </w:r>
          </w:p>
          <w:p w:rsidR="00AC08BB" w:rsidRPr="006A3036" w:rsidRDefault="00AC08BB" w:rsidP="0012485A">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57/1977</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25/1982</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76/1989 </w:t>
            </w:r>
          </w:p>
          <w:p w:rsidR="00AC08BB" w:rsidRPr="006A3036" w:rsidRDefault="00AC08BB" w:rsidP="0012485A">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26/1991</w:t>
            </w:r>
          </w:p>
          <w:p w:rsidR="00AC08BB" w:rsidRPr="006A3036" w:rsidRDefault="00AC08BB" w:rsidP="0012485A">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28/1992</w:t>
            </w:r>
          </w:p>
          <w:p w:rsidR="00AC08BB" w:rsidRPr="006A3036" w:rsidRDefault="00AC08BB" w:rsidP="0012485A">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40/1993</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18/1994</w:t>
            </w:r>
          </w:p>
          <w:p w:rsidR="00AC08BB" w:rsidRPr="006A3036" w:rsidRDefault="00AC08BB" w:rsidP="0012485A">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4/1996 </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24/1999</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19/2000    </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1/2001</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4/2001</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53/2003</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1/2004          </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23/2006</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35/2006     </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61/2006    </w:t>
            </w:r>
          </w:p>
          <w:p w:rsidR="00AC08BB" w:rsidRPr="006A3036" w:rsidRDefault="00AC08BB" w:rsidP="0012485A">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25/2009 </w:t>
            </w:r>
          </w:p>
          <w:p w:rsidR="00AC08BB" w:rsidRPr="006A3036" w:rsidRDefault="00AC08BB" w:rsidP="005D3147">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036">
              <w:rPr>
                <w:rFonts w:ascii="Times New Roman" w:hAnsi="Times New Roman" w:cs="Times New Roman"/>
                <w:sz w:val="24"/>
                <w:szCs w:val="24"/>
              </w:rPr>
              <w:t xml:space="preserve">  54/2011</w:t>
            </w:r>
          </w:p>
        </w:tc>
        <w:tc>
          <w:tcPr>
            <w:tcW w:w="7838" w:type="dxa"/>
            <w:gridSpan w:val="3"/>
          </w:tcPr>
          <w:p w:rsidR="00AC08BB" w:rsidRPr="006A3036" w:rsidRDefault="00AC08BB" w:rsidP="0012485A">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 xml:space="preserve">1. Bu Yasa, Bakanlıkların Kuruluş İlkeleri (Değişiklik) Yasası olarak isimlendirilir ve aşağıda “Esas Yasa” olarak anılan “Bakanlıkların Kuruluş İlkeleri Yasası”  ile birlikte okunur. </w:t>
            </w:r>
          </w:p>
          <w:p w:rsidR="00AC08BB" w:rsidRPr="006A3036" w:rsidRDefault="00AC08BB" w:rsidP="005D3147">
            <w:pPr>
              <w:spacing w:after="0" w:line="240" w:lineRule="auto"/>
              <w:jc w:val="both"/>
              <w:rPr>
                <w:rFonts w:ascii="Times New Roman" w:hAnsi="Times New Roman" w:cs="Times New Roman"/>
                <w:sz w:val="24"/>
                <w:szCs w:val="24"/>
              </w:rPr>
            </w:pPr>
          </w:p>
        </w:tc>
      </w:tr>
      <w:tr w:rsidR="00AC08BB" w:rsidRPr="006A3036">
        <w:trPr>
          <w:trHeight w:val="172"/>
          <w:jc w:val="center"/>
        </w:trPr>
        <w:tc>
          <w:tcPr>
            <w:tcW w:w="1647" w:type="dxa"/>
          </w:tcPr>
          <w:p w:rsidR="00AC08BB" w:rsidRPr="006A3036" w:rsidRDefault="00AC08BB" w:rsidP="005D3147">
            <w:pPr>
              <w:spacing w:after="0" w:line="240" w:lineRule="auto"/>
              <w:jc w:val="both"/>
              <w:rPr>
                <w:rFonts w:ascii="Times New Roman" w:hAnsi="Times New Roman" w:cs="Times New Roman"/>
                <w:sz w:val="24"/>
                <w:szCs w:val="24"/>
              </w:rPr>
            </w:pPr>
          </w:p>
        </w:tc>
        <w:tc>
          <w:tcPr>
            <w:tcW w:w="7838" w:type="dxa"/>
            <w:gridSpan w:val="3"/>
          </w:tcPr>
          <w:p w:rsidR="00AC08BB" w:rsidRPr="006A3036" w:rsidRDefault="00AC08BB" w:rsidP="0012485A">
            <w:pPr>
              <w:spacing w:after="0" w:line="240" w:lineRule="auto"/>
              <w:jc w:val="both"/>
              <w:rPr>
                <w:rFonts w:ascii="Times New Roman" w:hAnsi="Times New Roman" w:cs="Times New Roman"/>
                <w:sz w:val="24"/>
                <w:szCs w:val="24"/>
              </w:rPr>
            </w:pPr>
          </w:p>
        </w:tc>
      </w:tr>
      <w:tr w:rsidR="00AC08BB" w:rsidRPr="006A3036">
        <w:trPr>
          <w:trHeight w:val="172"/>
          <w:jc w:val="center"/>
        </w:trPr>
        <w:tc>
          <w:tcPr>
            <w:tcW w:w="1647" w:type="dxa"/>
          </w:tcPr>
          <w:p w:rsidR="00AC08BB" w:rsidRPr="006A3036" w:rsidRDefault="00AC08BB" w:rsidP="003C36E3">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Esas Yasanın 7’nci Maddesinin Değiştirilmesi</w:t>
            </w:r>
          </w:p>
        </w:tc>
        <w:tc>
          <w:tcPr>
            <w:tcW w:w="540" w:type="dxa"/>
          </w:tcPr>
          <w:p w:rsidR="00AC08BB" w:rsidRPr="006A3036" w:rsidRDefault="00AC08BB" w:rsidP="0012485A">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2.</w:t>
            </w:r>
          </w:p>
        </w:tc>
        <w:tc>
          <w:tcPr>
            <w:tcW w:w="720" w:type="dxa"/>
          </w:tcPr>
          <w:p w:rsidR="00AC08BB" w:rsidRPr="006A3036" w:rsidRDefault="00AC08BB" w:rsidP="00857245">
            <w:pPr>
              <w:rPr>
                <w:rFonts w:ascii="Times New Roman" w:hAnsi="Times New Roman" w:cs="Times New Roman"/>
                <w:sz w:val="24"/>
                <w:szCs w:val="24"/>
              </w:rPr>
            </w:pPr>
            <w:r w:rsidRPr="006A3036">
              <w:rPr>
                <w:rFonts w:ascii="Times New Roman" w:hAnsi="Times New Roman" w:cs="Times New Roman"/>
                <w:sz w:val="24"/>
                <w:szCs w:val="24"/>
              </w:rPr>
              <w:t>(1)</w:t>
            </w:r>
          </w:p>
        </w:tc>
        <w:tc>
          <w:tcPr>
            <w:tcW w:w="6578" w:type="dxa"/>
          </w:tcPr>
          <w:p w:rsidR="00AC08BB" w:rsidRPr="006A3036" w:rsidRDefault="00AC08BB" w:rsidP="00857245">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Esas Yasa, 7’nci maddesine bağlı Birinci Cetvelde yer alan,       “I. Derece Trafik Birimi Yöneticisi”, “II. Derece Trafik Birimi Yönetici Yardımcısı”, “III. Derece İzin Makamı Sekreteri”,       “I.Derece Mühendis”, “I.Derece Teknisyen”, “II.Derece Teknisyen” ve “III. Derece Teknisyen” kadroları kaldırılmak suretiyle değiştirilir.</w:t>
            </w:r>
          </w:p>
        </w:tc>
      </w:tr>
      <w:tr w:rsidR="00AC08BB" w:rsidRPr="006A3036">
        <w:trPr>
          <w:trHeight w:val="234"/>
          <w:jc w:val="center"/>
        </w:trPr>
        <w:tc>
          <w:tcPr>
            <w:tcW w:w="1647" w:type="dxa"/>
          </w:tcPr>
          <w:p w:rsidR="00AC08BB" w:rsidRPr="006A3036" w:rsidRDefault="00AC08BB" w:rsidP="00794DBF">
            <w:pPr>
              <w:spacing w:after="0" w:line="240" w:lineRule="auto"/>
              <w:rPr>
                <w:rFonts w:ascii="Times New Roman" w:hAnsi="Times New Roman" w:cs="Times New Roman"/>
                <w:sz w:val="24"/>
                <w:szCs w:val="24"/>
              </w:rPr>
            </w:pPr>
          </w:p>
        </w:tc>
        <w:tc>
          <w:tcPr>
            <w:tcW w:w="540" w:type="dxa"/>
          </w:tcPr>
          <w:p w:rsidR="00AC08BB" w:rsidRPr="006A3036" w:rsidRDefault="00AC08BB" w:rsidP="00794DBF">
            <w:pPr>
              <w:spacing w:after="0" w:line="240" w:lineRule="auto"/>
              <w:jc w:val="both"/>
              <w:rPr>
                <w:rFonts w:ascii="Times New Roman" w:hAnsi="Times New Roman" w:cs="Times New Roman"/>
                <w:sz w:val="24"/>
                <w:szCs w:val="24"/>
              </w:rPr>
            </w:pPr>
          </w:p>
        </w:tc>
        <w:tc>
          <w:tcPr>
            <w:tcW w:w="720" w:type="dxa"/>
          </w:tcPr>
          <w:p w:rsidR="00AC08BB" w:rsidRPr="006A3036" w:rsidRDefault="00AC08BB" w:rsidP="00794DBF">
            <w:pPr>
              <w:spacing w:after="0" w:line="240" w:lineRule="auto"/>
              <w:rPr>
                <w:rFonts w:ascii="Times New Roman" w:hAnsi="Times New Roman" w:cs="Times New Roman"/>
                <w:sz w:val="24"/>
                <w:szCs w:val="24"/>
              </w:rPr>
            </w:pPr>
          </w:p>
        </w:tc>
        <w:tc>
          <w:tcPr>
            <w:tcW w:w="6578" w:type="dxa"/>
          </w:tcPr>
          <w:p w:rsidR="00AC08BB" w:rsidRPr="006A3036" w:rsidRDefault="00AC08BB" w:rsidP="00794DBF">
            <w:pPr>
              <w:spacing w:after="0" w:line="240" w:lineRule="auto"/>
              <w:jc w:val="both"/>
              <w:rPr>
                <w:rFonts w:ascii="Times New Roman" w:hAnsi="Times New Roman" w:cs="Times New Roman"/>
                <w:sz w:val="24"/>
                <w:szCs w:val="24"/>
              </w:rPr>
            </w:pPr>
          </w:p>
        </w:tc>
      </w:tr>
      <w:tr w:rsidR="00AC08BB" w:rsidRPr="006A3036">
        <w:trPr>
          <w:trHeight w:val="172"/>
          <w:jc w:val="center"/>
        </w:trPr>
        <w:tc>
          <w:tcPr>
            <w:tcW w:w="1647" w:type="dxa"/>
          </w:tcPr>
          <w:p w:rsidR="00AC08BB" w:rsidRPr="006A3036" w:rsidRDefault="00AC08BB" w:rsidP="005D3147">
            <w:pPr>
              <w:spacing w:after="0" w:line="240" w:lineRule="auto"/>
              <w:jc w:val="both"/>
              <w:rPr>
                <w:rFonts w:ascii="Times New Roman" w:hAnsi="Times New Roman" w:cs="Times New Roman"/>
                <w:sz w:val="24"/>
                <w:szCs w:val="24"/>
              </w:rPr>
            </w:pPr>
          </w:p>
        </w:tc>
        <w:tc>
          <w:tcPr>
            <w:tcW w:w="540" w:type="dxa"/>
          </w:tcPr>
          <w:p w:rsidR="00AC08BB" w:rsidRPr="006A3036" w:rsidRDefault="00AC08BB" w:rsidP="0012485A">
            <w:pPr>
              <w:spacing w:after="0" w:line="240" w:lineRule="auto"/>
              <w:jc w:val="both"/>
              <w:rPr>
                <w:rFonts w:ascii="Times New Roman" w:hAnsi="Times New Roman" w:cs="Times New Roman"/>
                <w:sz w:val="24"/>
                <w:szCs w:val="24"/>
              </w:rPr>
            </w:pPr>
          </w:p>
        </w:tc>
        <w:tc>
          <w:tcPr>
            <w:tcW w:w="720" w:type="dxa"/>
          </w:tcPr>
          <w:p w:rsidR="00AC08BB" w:rsidRPr="006A3036" w:rsidRDefault="00AC08BB" w:rsidP="00857245">
            <w:pPr>
              <w:rPr>
                <w:rFonts w:ascii="Times New Roman" w:hAnsi="Times New Roman" w:cs="Times New Roman"/>
                <w:sz w:val="24"/>
                <w:szCs w:val="24"/>
              </w:rPr>
            </w:pPr>
            <w:r w:rsidRPr="006A3036">
              <w:rPr>
                <w:rFonts w:ascii="Times New Roman" w:hAnsi="Times New Roman" w:cs="Times New Roman"/>
                <w:sz w:val="24"/>
                <w:szCs w:val="24"/>
              </w:rPr>
              <w:t>(2)</w:t>
            </w:r>
          </w:p>
        </w:tc>
        <w:tc>
          <w:tcPr>
            <w:tcW w:w="6578" w:type="dxa"/>
          </w:tcPr>
          <w:p w:rsidR="00AC08BB" w:rsidRPr="006A3036" w:rsidRDefault="00AC08BB" w:rsidP="00857245">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Esas Yasa, 7’nci maddesine bağlı Birinci Cetvelin sonunda yer alan “253 Genel Toplam” sözdizisi kaldırılmak ve yerine “242  Genel Toplam” sözdizisi konmak suretiyle değiştirilir.</w:t>
            </w:r>
          </w:p>
        </w:tc>
      </w:tr>
      <w:tr w:rsidR="00AC08BB" w:rsidRPr="006A3036">
        <w:trPr>
          <w:trHeight w:val="214"/>
          <w:jc w:val="center"/>
        </w:trPr>
        <w:tc>
          <w:tcPr>
            <w:tcW w:w="1647" w:type="dxa"/>
          </w:tcPr>
          <w:p w:rsidR="00AC08BB" w:rsidRPr="006A3036" w:rsidRDefault="00AC08BB" w:rsidP="00E64272">
            <w:pPr>
              <w:spacing w:after="0" w:line="240" w:lineRule="auto"/>
              <w:rPr>
                <w:rFonts w:ascii="Times New Roman" w:hAnsi="Times New Roman" w:cs="Times New Roman"/>
                <w:sz w:val="24"/>
                <w:szCs w:val="24"/>
              </w:rPr>
            </w:pPr>
          </w:p>
        </w:tc>
        <w:tc>
          <w:tcPr>
            <w:tcW w:w="7838" w:type="dxa"/>
            <w:gridSpan w:val="3"/>
          </w:tcPr>
          <w:p w:rsidR="00AC08BB" w:rsidRPr="006A3036" w:rsidRDefault="00AC08BB" w:rsidP="005D3147">
            <w:pPr>
              <w:spacing w:after="0" w:line="240" w:lineRule="auto"/>
              <w:jc w:val="both"/>
              <w:rPr>
                <w:rFonts w:ascii="Times New Roman" w:hAnsi="Times New Roman" w:cs="Times New Roman"/>
                <w:sz w:val="24"/>
                <w:szCs w:val="24"/>
              </w:rPr>
            </w:pPr>
          </w:p>
        </w:tc>
      </w:tr>
      <w:tr w:rsidR="00AC08BB" w:rsidRPr="006A3036">
        <w:trPr>
          <w:trHeight w:val="1029"/>
          <w:jc w:val="center"/>
        </w:trPr>
        <w:tc>
          <w:tcPr>
            <w:tcW w:w="1647" w:type="dxa"/>
          </w:tcPr>
          <w:p w:rsidR="00AC08BB" w:rsidRPr="006A3036" w:rsidRDefault="00AC08BB" w:rsidP="00E64272">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lastRenderedPageBreak/>
              <w:t>Esas Yasanın 7’nci Maddesinin Değiştirilmesi</w:t>
            </w:r>
          </w:p>
        </w:tc>
        <w:tc>
          <w:tcPr>
            <w:tcW w:w="7838" w:type="dxa"/>
            <w:gridSpan w:val="3"/>
          </w:tcPr>
          <w:p w:rsidR="00AC08BB" w:rsidRPr="006A3036" w:rsidRDefault="00AC08BB" w:rsidP="005D3147">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3.  Esas Yasa, 7’nci maddesine bağlı İkinci Cetvelde yer alan, “I. Derece Trafik Birimi Yöneticisi”, “II. Derece Trafik Birimi Yönetici Yardımcısı”,   “III. Derece İzin Makamı Sekreteri”, “I. Derece Mühendis”, “I. Derece Teknisyen”, “II. Derece Teknisyen” ve “III. Derece Teknisyen” Hizmet Şemaları kaldırılmak suretiyle değiştirilir.</w:t>
            </w:r>
          </w:p>
        </w:tc>
      </w:tr>
      <w:tr w:rsidR="00AC08BB" w:rsidRPr="006A3036">
        <w:trPr>
          <w:trHeight w:val="262"/>
          <w:jc w:val="center"/>
        </w:trPr>
        <w:tc>
          <w:tcPr>
            <w:tcW w:w="1647" w:type="dxa"/>
          </w:tcPr>
          <w:p w:rsidR="00AC08BB" w:rsidRPr="006A3036" w:rsidRDefault="00AC08BB" w:rsidP="00E64272">
            <w:pPr>
              <w:spacing w:after="0" w:line="240" w:lineRule="auto"/>
              <w:rPr>
                <w:rFonts w:ascii="Times New Roman" w:hAnsi="Times New Roman" w:cs="Times New Roman"/>
                <w:sz w:val="24"/>
                <w:szCs w:val="24"/>
              </w:rPr>
            </w:pPr>
          </w:p>
        </w:tc>
        <w:tc>
          <w:tcPr>
            <w:tcW w:w="540" w:type="dxa"/>
          </w:tcPr>
          <w:p w:rsidR="00AC08BB" w:rsidRPr="006A3036" w:rsidRDefault="00AC08BB" w:rsidP="00E64272">
            <w:pPr>
              <w:spacing w:after="0" w:line="240" w:lineRule="auto"/>
              <w:jc w:val="center"/>
              <w:rPr>
                <w:rFonts w:ascii="Times New Roman" w:hAnsi="Times New Roman" w:cs="Times New Roman"/>
                <w:sz w:val="24"/>
                <w:szCs w:val="24"/>
              </w:rPr>
            </w:pPr>
          </w:p>
        </w:tc>
        <w:tc>
          <w:tcPr>
            <w:tcW w:w="7298" w:type="dxa"/>
            <w:gridSpan w:val="2"/>
          </w:tcPr>
          <w:p w:rsidR="00AC08BB" w:rsidRPr="006A3036" w:rsidRDefault="00AC08BB" w:rsidP="005D3147">
            <w:pPr>
              <w:spacing w:after="0" w:line="240" w:lineRule="auto"/>
              <w:jc w:val="both"/>
              <w:rPr>
                <w:rFonts w:ascii="Times New Roman" w:hAnsi="Times New Roman" w:cs="Times New Roman"/>
                <w:sz w:val="24"/>
                <w:szCs w:val="24"/>
              </w:rPr>
            </w:pPr>
          </w:p>
        </w:tc>
      </w:tr>
    </w:tbl>
    <w:p w:rsidR="00AC08BB" w:rsidRPr="006A3036" w:rsidRDefault="00AC08BB">
      <w:r w:rsidRPr="006A3036">
        <w:br w:type="page"/>
      </w:r>
    </w:p>
    <w:tbl>
      <w:tblPr>
        <w:tblW w:w="9485" w:type="dxa"/>
        <w:jc w:val="center"/>
        <w:tblLayout w:type="fixed"/>
        <w:tblLook w:val="01E0" w:firstRow="1" w:lastRow="1" w:firstColumn="1" w:lastColumn="1" w:noHBand="0" w:noVBand="0"/>
      </w:tblPr>
      <w:tblGrid>
        <w:gridCol w:w="1647"/>
        <w:gridCol w:w="638"/>
        <w:gridCol w:w="622"/>
        <w:gridCol w:w="6578"/>
      </w:tblGrid>
      <w:tr w:rsidR="00AC08BB" w:rsidRPr="006A3036">
        <w:trPr>
          <w:trHeight w:val="262"/>
          <w:jc w:val="center"/>
        </w:trPr>
        <w:tc>
          <w:tcPr>
            <w:tcW w:w="1647" w:type="dxa"/>
          </w:tcPr>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Geçici Madde</w:t>
            </w:r>
          </w:p>
          <w:p w:rsidR="00AC08BB" w:rsidRPr="006A3036" w:rsidRDefault="00AC08BB" w:rsidP="00832E40">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Kadrosu Kaldırılan Personelin</w:t>
            </w:r>
          </w:p>
        </w:tc>
        <w:tc>
          <w:tcPr>
            <w:tcW w:w="638" w:type="dxa"/>
          </w:tcPr>
          <w:p w:rsidR="00AC08BB" w:rsidRPr="006A3036" w:rsidRDefault="00AC08BB" w:rsidP="00D33C0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1.</w:t>
            </w:r>
          </w:p>
        </w:tc>
        <w:tc>
          <w:tcPr>
            <w:tcW w:w="622" w:type="dxa"/>
          </w:tcPr>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(1) </w:t>
            </w:r>
          </w:p>
          <w:p w:rsidR="00AC08BB" w:rsidRPr="006A3036" w:rsidRDefault="00AC08BB" w:rsidP="00D33C0B">
            <w:pPr>
              <w:tabs>
                <w:tab w:val="left" w:pos="2016"/>
                <w:tab w:val="left" w:pos="2448"/>
              </w:tabs>
              <w:spacing w:after="0" w:line="240" w:lineRule="auto"/>
              <w:jc w:val="both"/>
              <w:rPr>
                <w:rFonts w:ascii="Times New Roman" w:hAnsi="Times New Roman" w:cs="Times New Roman"/>
                <w:sz w:val="24"/>
                <w:szCs w:val="24"/>
              </w:rPr>
            </w:pPr>
          </w:p>
        </w:tc>
        <w:tc>
          <w:tcPr>
            <w:tcW w:w="6578" w:type="dxa"/>
          </w:tcPr>
          <w:p w:rsidR="00AC08BB" w:rsidRPr="006A3036" w:rsidRDefault="00AC08BB" w:rsidP="00D33C0B">
            <w:pPr>
              <w:tabs>
                <w:tab w:val="left" w:pos="2016"/>
                <w:tab w:val="left" w:pos="2448"/>
              </w:tabs>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Bu Yasa ile yürürlükten kaldırılan kadrolarda çalışmakta olan personel, başka  bir kadroya atanıncaya veya emekli oluncaya kadar bu kadronun kendisine kazandırmış olduğu ve/veya kazandıracağı haklardan aynen yararlanmaya devam eder.</w:t>
            </w:r>
          </w:p>
        </w:tc>
      </w:tr>
      <w:tr w:rsidR="00AC08BB" w:rsidRPr="006A3036">
        <w:trPr>
          <w:trHeight w:val="262"/>
          <w:jc w:val="center"/>
        </w:trPr>
        <w:tc>
          <w:tcPr>
            <w:tcW w:w="1647" w:type="dxa"/>
          </w:tcPr>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Hakları</w:t>
            </w:r>
          </w:p>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7/1979</w:t>
            </w:r>
          </w:p>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3/1982</w:t>
            </w:r>
          </w:p>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12/1982</w:t>
            </w:r>
          </w:p>
        </w:tc>
        <w:tc>
          <w:tcPr>
            <w:tcW w:w="638" w:type="dxa"/>
          </w:tcPr>
          <w:p w:rsidR="00AC08BB" w:rsidRPr="006A3036" w:rsidRDefault="00AC08BB" w:rsidP="00D33C0B">
            <w:pPr>
              <w:spacing w:after="0" w:line="240" w:lineRule="auto"/>
              <w:rPr>
                <w:rFonts w:ascii="Times New Roman" w:hAnsi="Times New Roman" w:cs="Times New Roman"/>
                <w:sz w:val="24"/>
                <w:szCs w:val="24"/>
              </w:rPr>
            </w:pPr>
          </w:p>
        </w:tc>
        <w:tc>
          <w:tcPr>
            <w:tcW w:w="622" w:type="dxa"/>
          </w:tcPr>
          <w:p w:rsidR="00AC08BB" w:rsidRPr="006A3036" w:rsidRDefault="00AC08BB" w:rsidP="00DD4DFB">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(2)</w:t>
            </w:r>
          </w:p>
        </w:tc>
        <w:tc>
          <w:tcPr>
            <w:tcW w:w="6578" w:type="dxa"/>
          </w:tcPr>
          <w:p w:rsidR="00AC08BB" w:rsidRPr="006A3036" w:rsidRDefault="00AC08BB" w:rsidP="00D33C0B">
            <w:pPr>
              <w:tabs>
                <w:tab w:val="left" w:pos="2016"/>
                <w:tab w:val="left" w:pos="2448"/>
              </w:tabs>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Bu (Değişiklik) Yasası ile kaldırılan kadrolarda görev yapan kamu görevlileri hakkında Kamu Görevlileri Yasasının kadroları kaldırılan kamu görevlileri ile ilgili madde kuralları uygulanır.</w:t>
            </w:r>
          </w:p>
        </w:tc>
      </w:tr>
      <w:tr w:rsidR="00AC08BB" w:rsidRPr="006A3036">
        <w:trPr>
          <w:trHeight w:val="262"/>
          <w:jc w:val="center"/>
        </w:trPr>
        <w:tc>
          <w:tcPr>
            <w:tcW w:w="1647" w:type="dxa"/>
          </w:tcPr>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44/1982</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42/1983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5/1984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29/1984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50/1984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2/1985</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10/1986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13/1986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30/1986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31/1987</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11/1988</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33/1988</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13/1989</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34/1989</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73/1989</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8/1990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19/1990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42/1990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49/1990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11/1991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85/1991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11/1992</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35/1992</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3/1993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62/1993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10/1994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15/1994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53/1994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18/1995</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12/1996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19/1996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32/1996</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14/1997</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24/1997</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13/1998</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40/1998</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6/1999</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48/1999</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4/2000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15/2000</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lastRenderedPageBreak/>
              <w:t xml:space="preserve">       20/2001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43/2001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25/2002</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60/2002</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3/2003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43/2003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63/2003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69/2003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5/2004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35/2004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20/2005</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32/2005</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59/2005</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10/2006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44/2006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72/2006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3/2007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57/2007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97/2007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036">
              <w:rPr>
                <w:rFonts w:ascii="Times New Roman" w:hAnsi="Times New Roman" w:cs="Times New Roman"/>
                <w:sz w:val="24"/>
                <w:szCs w:val="24"/>
              </w:rPr>
              <w:t xml:space="preserve"> 11/2008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23/2008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34/2008</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54/2008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82/2009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48/2010 </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3/2011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13/2011</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20/2013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34/2013</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3036">
              <w:rPr>
                <w:rFonts w:ascii="Times New Roman" w:hAnsi="Times New Roman" w:cs="Times New Roman"/>
                <w:sz w:val="24"/>
                <w:szCs w:val="24"/>
              </w:rPr>
              <w:t xml:space="preserve">   19/2014</w:t>
            </w:r>
          </w:p>
          <w:p w:rsidR="00AC08BB" w:rsidRPr="006A3036" w:rsidRDefault="00AC08BB" w:rsidP="00F73B1C">
            <w:pPr>
              <w:spacing w:after="0" w:line="240" w:lineRule="auto"/>
              <w:jc w:val="center"/>
              <w:rPr>
                <w:rFonts w:ascii="Times New Roman" w:hAnsi="Times New Roman" w:cs="Times New Roman"/>
                <w:sz w:val="24"/>
                <w:szCs w:val="24"/>
              </w:rPr>
            </w:pPr>
            <w:r w:rsidRPr="006A3036">
              <w:rPr>
                <w:rFonts w:ascii="Times New Roman" w:hAnsi="Times New Roman" w:cs="Times New Roman"/>
                <w:sz w:val="24"/>
                <w:szCs w:val="24"/>
              </w:rPr>
              <w:t xml:space="preserve">         3/2015</w:t>
            </w:r>
          </w:p>
          <w:p w:rsidR="00AC08BB" w:rsidRPr="006A3036" w:rsidRDefault="00AC08BB" w:rsidP="00F73B1C">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 xml:space="preserve">         48/2015</w:t>
            </w:r>
          </w:p>
        </w:tc>
        <w:tc>
          <w:tcPr>
            <w:tcW w:w="638" w:type="dxa"/>
          </w:tcPr>
          <w:p w:rsidR="00AC08BB" w:rsidRPr="006A3036" w:rsidRDefault="00AC08BB" w:rsidP="00D33C0B">
            <w:pPr>
              <w:rPr>
                <w:rFonts w:ascii="Times New Roman" w:hAnsi="Times New Roman" w:cs="Times New Roman"/>
                <w:sz w:val="24"/>
                <w:szCs w:val="24"/>
              </w:rPr>
            </w:pPr>
          </w:p>
        </w:tc>
        <w:tc>
          <w:tcPr>
            <w:tcW w:w="7200" w:type="dxa"/>
            <w:gridSpan w:val="2"/>
          </w:tcPr>
          <w:p w:rsidR="00AC08BB" w:rsidRPr="006A3036" w:rsidRDefault="00AC08BB" w:rsidP="00D33C0B">
            <w:pPr>
              <w:spacing w:after="0" w:line="240" w:lineRule="auto"/>
              <w:jc w:val="both"/>
              <w:rPr>
                <w:rFonts w:ascii="Times New Roman" w:hAnsi="Times New Roman" w:cs="Times New Roman"/>
                <w:sz w:val="24"/>
                <w:szCs w:val="24"/>
              </w:rPr>
            </w:pPr>
          </w:p>
        </w:tc>
      </w:tr>
      <w:tr w:rsidR="00AC08BB" w:rsidRPr="006A3036">
        <w:trPr>
          <w:trHeight w:val="149"/>
          <w:jc w:val="center"/>
        </w:trPr>
        <w:tc>
          <w:tcPr>
            <w:tcW w:w="1647" w:type="dxa"/>
          </w:tcPr>
          <w:p w:rsidR="00AC08BB" w:rsidRPr="006A3036" w:rsidRDefault="00AC08BB" w:rsidP="00832E40">
            <w:pPr>
              <w:spacing w:after="0" w:line="240" w:lineRule="auto"/>
              <w:rPr>
                <w:rFonts w:ascii="Times New Roman" w:hAnsi="Times New Roman" w:cs="Times New Roman"/>
                <w:sz w:val="24"/>
                <w:szCs w:val="24"/>
              </w:rPr>
            </w:pPr>
          </w:p>
        </w:tc>
        <w:tc>
          <w:tcPr>
            <w:tcW w:w="638" w:type="dxa"/>
          </w:tcPr>
          <w:p w:rsidR="00AC08BB" w:rsidRPr="006A3036" w:rsidRDefault="00AC08BB" w:rsidP="00832E40">
            <w:pPr>
              <w:spacing w:after="0" w:line="240" w:lineRule="auto"/>
              <w:rPr>
                <w:rFonts w:ascii="Times New Roman" w:hAnsi="Times New Roman" w:cs="Times New Roman"/>
                <w:sz w:val="24"/>
                <w:szCs w:val="24"/>
              </w:rPr>
            </w:pPr>
          </w:p>
        </w:tc>
        <w:tc>
          <w:tcPr>
            <w:tcW w:w="7200" w:type="dxa"/>
            <w:gridSpan w:val="2"/>
          </w:tcPr>
          <w:p w:rsidR="00AC08BB" w:rsidRPr="006A3036" w:rsidRDefault="00AC08BB" w:rsidP="00832E40">
            <w:pPr>
              <w:spacing w:after="0" w:line="240" w:lineRule="auto"/>
              <w:jc w:val="both"/>
              <w:rPr>
                <w:rFonts w:ascii="Times New Roman" w:hAnsi="Times New Roman" w:cs="Times New Roman"/>
                <w:sz w:val="24"/>
                <w:szCs w:val="24"/>
              </w:rPr>
            </w:pPr>
          </w:p>
        </w:tc>
      </w:tr>
      <w:tr w:rsidR="00AC08BB" w:rsidRPr="006A3036">
        <w:trPr>
          <w:jc w:val="center"/>
        </w:trPr>
        <w:tc>
          <w:tcPr>
            <w:tcW w:w="1647" w:type="dxa"/>
          </w:tcPr>
          <w:p w:rsidR="00AC08BB" w:rsidRPr="006A3036" w:rsidRDefault="00AC08BB" w:rsidP="003C36E3">
            <w:pPr>
              <w:spacing w:after="0" w:line="240" w:lineRule="auto"/>
              <w:rPr>
                <w:rFonts w:ascii="Times New Roman" w:hAnsi="Times New Roman" w:cs="Times New Roman"/>
                <w:sz w:val="24"/>
                <w:szCs w:val="24"/>
              </w:rPr>
            </w:pPr>
            <w:r w:rsidRPr="006A3036">
              <w:rPr>
                <w:rFonts w:ascii="Times New Roman" w:hAnsi="Times New Roman" w:cs="Times New Roman"/>
                <w:sz w:val="24"/>
                <w:szCs w:val="24"/>
              </w:rPr>
              <w:t>Yürülüğe Giriş</w:t>
            </w:r>
          </w:p>
        </w:tc>
        <w:tc>
          <w:tcPr>
            <w:tcW w:w="7838" w:type="dxa"/>
            <w:gridSpan w:val="3"/>
          </w:tcPr>
          <w:p w:rsidR="00AC08BB" w:rsidRPr="006A3036" w:rsidRDefault="00AC08BB" w:rsidP="00B17C80">
            <w:pPr>
              <w:spacing w:after="0" w:line="240" w:lineRule="auto"/>
              <w:jc w:val="both"/>
              <w:rPr>
                <w:rFonts w:ascii="Times New Roman" w:hAnsi="Times New Roman" w:cs="Times New Roman"/>
                <w:sz w:val="24"/>
                <w:szCs w:val="24"/>
              </w:rPr>
            </w:pPr>
            <w:r w:rsidRPr="006A3036">
              <w:rPr>
                <w:rFonts w:ascii="Times New Roman" w:hAnsi="Times New Roman" w:cs="Times New Roman"/>
                <w:sz w:val="24"/>
                <w:szCs w:val="24"/>
              </w:rPr>
              <w:t>4. Bu Yasa, Resmi Gazete’de yayımlandığı tarihten başlayarak yürürlüğe girer.</w:t>
            </w:r>
          </w:p>
        </w:tc>
      </w:tr>
    </w:tbl>
    <w:p w:rsidR="00AC08BB" w:rsidRPr="006A3036" w:rsidRDefault="00AC08BB" w:rsidP="00E64272">
      <w:pPr>
        <w:spacing w:after="0" w:line="240" w:lineRule="auto"/>
        <w:jc w:val="both"/>
        <w:rPr>
          <w:rFonts w:ascii="Times New Roman" w:hAnsi="Times New Roman" w:cs="Times New Roman"/>
          <w:sz w:val="24"/>
          <w:szCs w:val="24"/>
        </w:rPr>
      </w:pPr>
    </w:p>
    <w:sectPr w:rsidR="00AC08BB" w:rsidRPr="006A3036" w:rsidSect="000F2AF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27E" w:rsidRDefault="00C8627E">
      <w:r>
        <w:separator/>
      </w:r>
    </w:p>
  </w:endnote>
  <w:endnote w:type="continuationSeparator" w:id="0">
    <w:p w:rsidR="00C8627E" w:rsidRDefault="00C8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BB" w:rsidRDefault="00AC08BB" w:rsidP="0097783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519E">
      <w:rPr>
        <w:rStyle w:val="PageNumber"/>
        <w:noProof/>
      </w:rPr>
      <w:t>4</w:t>
    </w:r>
    <w:r>
      <w:rPr>
        <w:rStyle w:val="PageNumber"/>
      </w:rPr>
      <w:fldChar w:fldCharType="end"/>
    </w:r>
  </w:p>
  <w:p w:rsidR="00AC08BB" w:rsidRDefault="00AC0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27E" w:rsidRDefault="00C8627E">
      <w:r>
        <w:separator/>
      </w:r>
    </w:p>
  </w:footnote>
  <w:footnote w:type="continuationSeparator" w:id="0">
    <w:p w:rsidR="00C8627E" w:rsidRDefault="00C86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0F5"/>
    <w:multiLevelType w:val="hybridMultilevel"/>
    <w:tmpl w:val="3A3EC90A"/>
    <w:lvl w:ilvl="0" w:tplc="4CC0E65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CCE6A67"/>
    <w:multiLevelType w:val="hybridMultilevel"/>
    <w:tmpl w:val="5AAC16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355"/>
    <w:rsid w:val="000350B7"/>
    <w:rsid w:val="00044425"/>
    <w:rsid w:val="00064D1C"/>
    <w:rsid w:val="00067AC2"/>
    <w:rsid w:val="00080A45"/>
    <w:rsid w:val="000A13F2"/>
    <w:rsid w:val="000B3979"/>
    <w:rsid w:val="000D05B3"/>
    <w:rsid w:val="000D14A8"/>
    <w:rsid w:val="000D3DFF"/>
    <w:rsid w:val="000E7BB9"/>
    <w:rsid w:val="000F1F0A"/>
    <w:rsid w:val="000F2AF6"/>
    <w:rsid w:val="000F43F4"/>
    <w:rsid w:val="0011704E"/>
    <w:rsid w:val="0012485A"/>
    <w:rsid w:val="001700CD"/>
    <w:rsid w:val="001B6960"/>
    <w:rsid w:val="001C03B6"/>
    <w:rsid w:val="001E0A59"/>
    <w:rsid w:val="001F4226"/>
    <w:rsid w:val="00216029"/>
    <w:rsid w:val="0025300D"/>
    <w:rsid w:val="00265849"/>
    <w:rsid w:val="002939EC"/>
    <w:rsid w:val="002A4D31"/>
    <w:rsid w:val="002B105D"/>
    <w:rsid w:val="002B390A"/>
    <w:rsid w:val="002C519E"/>
    <w:rsid w:val="00302FA2"/>
    <w:rsid w:val="003101B9"/>
    <w:rsid w:val="003120B9"/>
    <w:rsid w:val="00333FCE"/>
    <w:rsid w:val="0035365A"/>
    <w:rsid w:val="00367D1A"/>
    <w:rsid w:val="003A1470"/>
    <w:rsid w:val="003B4E02"/>
    <w:rsid w:val="003C36E3"/>
    <w:rsid w:val="003C7E8A"/>
    <w:rsid w:val="003D270E"/>
    <w:rsid w:val="003E2946"/>
    <w:rsid w:val="003F2FC2"/>
    <w:rsid w:val="004072E4"/>
    <w:rsid w:val="00422566"/>
    <w:rsid w:val="004263A9"/>
    <w:rsid w:val="00435A84"/>
    <w:rsid w:val="0044481A"/>
    <w:rsid w:val="004619D1"/>
    <w:rsid w:val="004B6D6B"/>
    <w:rsid w:val="005405C5"/>
    <w:rsid w:val="0055257A"/>
    <w:rsid w:val="00564596"/>
    <w:rsid w:val="00576AD0"/>
    <w:rsid w:val="005D08E8"/>
    <w:rsid w:val="005D3147"/>
    <w:rsid w:val="005E1099"/>
    <w:rsid w:val="00602AE5"/>
    <w:rsid w:val="0062123B"/>
    <w:rsid w:val="006355F2"/>
    <w:rsid w:val="00635A0F"/>
    <w:rsid w:val="00647F44"/>
    <w:rsid w:val="00661AE6"/>
    <w:rsid w:val="00675644"/>
    <w:rsid w:val="00677D89"/>
    <w:rsid w:val="00684919"/>
    <w:rsid w:val="006A0A8C"/>
    <w:rsid w:val="006A3036"/>
    <w:rsid w:val="00706B3E"/>
    <w:rsid w:val="00721694"/>
    <w:rsid w:val="00776BF5"/>
    <w:rsid w:val="00794974"/>
    <w:rsid w:val="00794DBF"/>
    <w:rsid w:val="007A0E10"/>
    <w:rsid w:val="00802A5E"/>
    <w:rsid w:val="00810832"/>
    <w:rsid w:val="00832E40"/>
    <w:rsid w:val="00857245"/>
    <w:rsid w:val="00864F25"/>
    <w:rsid w:val="0086517F"/>
    <w:rsid w:val="008C2EEB"/>
    <w:rsid w:val="008C3895"/>
    <w:rsid w:val="008C7925"/>
    <w:rsid w:val="009201DC"/>
    <w:rsid w:val="009424F8"/>
    <w:rsid w:val="00972D69"/>
    <w:rsid w:val="00975BDF"/>
    <w:rsid w:val="00977839"/>
    <w:rsid w:val="009B2915"/>
    <w:rsid w:val="009C1BEF"/>
    <w:rsid w:val="009D21D1"/>
    <w:rsid w:val="009E7F53"/>
    <w:rsid w:val="009F21A5"/>
    <w:rsid w:val="00A10567"/>
    <w:rsid w:val="00A10B7C"/>
    <w:rsid w:val="00A21C5C"/>
    <w:rsid w:val="00A22060"/>
    <w:rsid w:val="00A278D5"/>
    <w:rsid w:val="00A6482C"/>
    <w:rsid w:val="00AC08BB"/>
    <w:rsid w:val="00B0474F"/>
    <w:rsid w:val="00B17C80"/>
    <w:rsid w:val="00B21030"/>
    <w:rsid w:val="00B34355"/>
    <w:rsid w:val="00B46339"/>
    <w:rsid w:val="00B53716"/>
    <w:rsid w:val="00B74FC8"/>
    <w:rsid w:val="00B82A10"/>
    <w:rsid w:val="00BD56D4"/>
    <w:rsid w:val="00BD6BC9"/>
    <w:rsid w:val="00BE3C68"/>
    <w:rsid w:val="00BF1F89"/>
    <w:rsid w:val="00BF2F4C"/>
    <w:rsid w:val="00C17DB5"/>
    <w:rsid w:val="00C328E2"/>
    <w:rsid w:val="00C637A1"/>
    <w:rsid w:val="00C675A0"/>
    <w:rsid w:val="00C8627E"/>
    <w:rsid w:val="00CA59DC"/>
    <w:rsid w:val="00CB1CB9"/>
    <w:rsid w:val="00CE38D5"/>
    <w:rsid w:val="00D15413"/>
    <w:rsid w:val="00D23274"/>
    <w:rsid w:val="00D33C0B"/>
    <w:rsid w:val="00D43D28"/>
    <w:rsid w:val="00D87742"/>
    <w:rsid w:val="00DD4CC4"/>
    <w:rsid w:val="00DD4DFB"/>
    <w:rsid w:val="00E07F97"/>
    <w:rsid w:val="00E20003"/>
    <w:rsid w:val="00E33D5E"/>
    <w:rsid w:val="00E579A1"/>
    <w:rsid w:val="00E64272"/>
    <w:rsid w:val="00E64A20"/>
    <w:rsid w:val="00E95F96"/>
    <w:rsid w:val="00E96B68"/>
    <w:rsid w:val="00EA4B84"/>
    <w:rsid w:val="00F004E1"/>
    <w:rsid w:val="00F10129"/>
    <w:rsid w:val="00F10EEB"/>
    <w:rsid w:val="00F148C1"/>
    <w:rsid w:val="00F415B5"/>
    <w:rsid w:val="00F6417F"/>
    <w:rsid w:val="00F72908"/>
    <w:rsid w:val="00F73B1C"/>
    <w:rsid w:val="00F86374"/>
    <w:rsid w:val="00F86D62"/>
    <w:rsid w:val="00FB6D63"/>
    <w:rsid w:val="00FE48E2"/>
    <w:rsid w:val="00FF4528"/>
    <w:rsid w:val="00FF7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425"/>
    <w:pPr>
      <w:spacing w:after="200" w:line="276" w:lineRule="auto"/>
    </w:pPr>
    <w:rPr>
      <w:rFonts w:cs="Calibri"/>
      <w:sz w:val="22"/>
      <w:szCs w:val="22"/>
      <w:lang w:val="tr-TR" w:eastAsia="tr-TR"/>
    </w:rPr>
  </w:style>
  <w:style w:type="paragraph" w:styleId="Heading7">
    <w:name w:val="heading 7"/>
    <w:basedOn w:val="Normal"/>
    <w:next w:val="Normal"/>
    <w:link w:val="Heading7Char"/>
    <w:uiPriority w:val="99"/>
    <w:qFormat/>
    <w:locked/>
    <w:rsid w:val="00972D69"/>
    <w:pPr>
      <w:keepNext/>
      <w:tabs>
        <w:tab w:val="left" w:pos="1418"/>
      </w:tabs>
      <w:spacing w:after="0" w:line="240" w:lineRule="auto"/>
      <w:outlineLvl w:val="6"/>
    </w:pPr>
    <w:rPr>
      <w:rFonts w:ascii="Arial" w:hAnsi="Arial" w:cs="Arial"/>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972D69"/>
    <w:rPr>
      <w:rFonts w:ascii="Arial" w:hAnsi="Arial" w:cs="Arial"/>
      <w:sz w:val="24"/>
      <w:szCs w:val="24"/>
      <w:u w:val="single"/>
      <w:lang w:eastAsia="en-US"/>
    </w:rPr>
  </w:style>
  <w:style w:type="table" w:styleId="TableGrid">
    <w:name w:val="Table Grid"/>
    <w:basedOn w:val="TableNormal"/>
    <w:uiPriority w:val="99"/>
    <w:rsid w:val="00B34355"/>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972D69"/>
    <w:pPr>
      <w:tabs>
        <w:tab w:val="left" w:pos="1418"/>
      </w:tabs>
      <w:spacing w:after="0" w:line="240" w:lineRule="auto"/>
      <w:ind w:left="1418" w:hanging="1276"/>
      <w:jc w:val="both"/>
    </w:pPr>
    <w:rPr>
      <w:rFonts w:ascii="Arial" w:hAnsi="Arial" w:cs="Arial"/>
      <w:sz w:val="24"/>
      <w:szCs w:val="24"/>
      <w:lang w:eastAsia="en-US"/>
    </w:rPr>
  </w:style>
  <w:style w:type="character" w:customStyle="1" w:styleId="BodyTextIndentChar">
    <w:name w:val="Body Text Indent Char"/>
    <w:link w:val="BodyTextIndent"/>
    <w:uiPriority w:val="99"/>
    <w:locked/>
    <w:rsid w:val="00972D69"/>
    <w:rPr>
      <w:rFonts w:ascii="Arial" w:hAnsi="Arial" w:cs="Arial"/>
      <w:sz w:val="24"/>
      <w:szCs w:val="24"/>
      <w:lang w:eastAsia="en-US"/>
    </w:rPr>
  </w:style>
  <w:style w:type="paragraph" w:styleId="Footer">
    <w:name w:val="footer"/>
    <w:basedOn w:val="Normal"/>
    <w:link w:val="FooterChar"/>
    <w:uiPriority w:val="99"/>
    <w:rsid w:val="000F2AF6"/>
    <w:pPr>
      <w:tabs>
        <w:tab w:val="center" w:pos="4536"/>
        <w:tab w:val="right" w:pos="9072"/>
      </w:tabs>
    </w:pPr>
  </w:style>
  <w:style w:type="character" w:customStyle="1" w:styleId="FooterChar">
    <w:name w:val="Footer Char"/>
    <w:basedOn w:val="DefaultParagraphFont"/>
    <w:link w:val="Footer"/>
    <w:uiPriority w:val="99"/>
    <w:semiHidden/>
    <w:locked/>
    <w:rsid w:val="00602AE5"/>
  </w:style>
  <w:style w:type="character" w:styleId="PageNumber">
    <w:name w:val="page number"/>
    <w:basedOn w:val="DefaultParagraphFont"/>
    <w:uiPriority w:val="99"/>
    <w:rsid w:val="000F2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545</Words>
  <Characters>3111</Characters>
  <Application>Microsoft Office Word</Application>
  <DocSecurity>0</DocSecurity>
  <Lines>25</Lines>
  <Paragraphs>7</Paragraphs>
  <ScaleCrop>false</ScaleCrop>
  <Company>KKTC MALIYE BAKANLIGI</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BAKANLIKLARIN KURULUŞ İLKELERİ (DEĞİŞİKLİK) YASA TASARISI</dc:title>
  <dc:subject/>
  <dc:creator>bub</dc:creator>
  <cp:keywords/>
  <dc:description/>
  <cp:lastModifiedBy>nedret argun</cp:lastModifiedBy>
  <cp:revision>3</cp:revision>
  <cp:lastPrinted>2015-05-05T11:58:00Z</cp:lastPrinted>
  <dcterms:created xsi:type="dcterms:W3CDTF">2016-05-17T05:58:00Z</dcterms:created>
  <dcterms:modified xsi:type="dcterms:W3CDTF">2016-05-30T06:25:00Z</dcterms:modified>
</cp:coreProperties>
</file>