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E55" w:rsidRPr="007E62AA" w:rsidRDefault="00C26E55" w:rsidP="00C26E55">
      <w:pPr>
        <w:jc w:val="both"/>
        <w:rPr>
          <w:rFonts w:ascii="Times New Roman" w:hAnsi="Times New Roman" w:cs="Times New Roman"/>
          <w:sz w:val="24"/>
          <w:szCs w:val="24"/>
        </w:rPr>
      </w:pPr>
      <w:r w:rsidRPr="007E62AA">
        <w:rPr>
          <w:rFonts w:ascii="Times New Roman" w:hAnsi="Times New Roman" w:cs="Times New Roman"/>
          <w:sz w:val="24"/>
          <w:szCs w:val="24"/>
        </w:rPr>
        <w:t xml:space="preserve">Kuzey Kıbrıs Türk Cumhuriyeti Cumhuriyet Meclisi’nin </w:t>
      </w:r>
      <w:r>
        <w:rPr>
          <w:rFonts w:ascii="Times New Roman" w:hAnsi="Times New Roman" w:cs="Times New Roman"/>
          <w:sz w:val="24"/>
          <w:szCs w:val="24"/>
        </w:rPr>
        <w:t>27</w:t>
      </w:r>
      <w:r w:rsidRPr="007E62AA">
        <w:rPr>
          <w:rFonts w:ascii="Times New Roman" w:hAnsi="Times New Roman" w:cs="Times New Roman"/>
          <w:sz w:val="24"/>
          <w:szCs w:val="24"/>
        </w:rPr>
        <w:t xml:space="preserve"> Kasım 2023 tarihli On</w:t>
      </w:r>
      <w:r>
        <w:rPr>
          <w:rFonts w:ascii="Times New Roman" w:hAnsi="Times New Roman" w:cs="Times New Roman"/>
          <w:sz w:val="24"/>
          <w:szCs w:val="24"/>
        </w:rPr>
        <w:t xml:space="preserve">dördüncü </w:t>
      </w:r>
      <w:r w:rsidRPr="007E62AA">
        <w:rPr>
          <w:rFonts w:ascii="Times New Roman" w:hAnsi="Times New Roman" w:cs="Times New Roman"/>
          <w:sz w:val="24"/>
          <w:szCs w:val="24"/>
        </w:rPr>
        <w:t>Birleşiminde Oybirliğiyle kabul olunan “</w:t>
      </w:r>
      <w:r w:rsidRPr="0071448D">
        <w:rPr>
          <w:rFonts w:ascii="Times New Roman" w:hAnsi="Times New Roman" w:cs="Times New Roman"/>
          <w:color w:val="000000"/>
          <w:sz w:val="24"/>
          <w:szCs w:val="24"/>
        </w:rPr>
        <w:t xml:space="preserve">Anayasanın 159’uncu Maddesinin (1)’inci Fıkrasının (b) Bendi Kapsamına Giren Taşınmaz Malların Tazmini, Takası ve İadesi (Değişiklik) </w:t>
      </w:r>
      <w:r w:rsidRPr="007E62AA">
        <w:rPr>
          <w:rFonts w:ascii="Times New Roman" w:hAnsi="Times New Roman" w:cs="Times New Roman"/>
          <w:sz w:val="24"/>
          <w:szCs w:val="24"/>
        </w:rPr>
        <w:t>Yasası” Anayasanın 94’üncü maddesinin (1)’inci fıkrası gereğince Kuzey Kıbrıs Türk Cumhuriyeti Cumhurbaşkanı tarafından Resmi Gazete’de yayımlanmak suretiyle ilan olunur.</w:t>
      </w:r>
    </w:p>
    <w:p w:rsidR="00C26E55" w:rsidRDefault="00C26E55" w:rsidP="00C26E55">
      <w:pPr>
        <w:jc w:val="center"/>
        <w:rPr>
          <w:rFonts w:ascii="Times New Roman" w:hAnsi="Times New Roman" w:cs="Times New Roman"/>
          <w:sz w:val="24"/>
          <w:szCs w:val="24"/>
        </w:rPr>
      </w:pPr>
    </w:p>
    <w:p w:rsidR="00C26E55" w:rsidRPr="007E62AA" w:rsidRDefault="00C26E55" w:rsidP="00C26E55">
      <w:pPr>
        <w:jc w:val="center"/>
        <w:rPr>
          <w:rFonts w:ascii="Times New Roman" w:hAnsi="Times New Roman" w:cs="Times New Roman"/>
          <w:sz w:val="24"/>
          <w:szCs w:val="24"/>
        </w:rPr>
      </w:pPr>
      <w:r w:rsidRPr="007E62AA">
        <w:rPr>
          <w:rFonts w:ascii="Times New Roman" w:hAnsi="Times New Roman" w:cs="Times New Roman"/>
          <w:sz w:val="24"/>
          <w:szCs w:val="24"/>
        </w:rPr>
        <w:t>Sayı: 7</w:t>
      </w:r>
      <w:r w:rsidR="00BA7D37">
        <w:rPr>
          <w:rFonts w:ascii="Times New Roman" w:hAnsi="Times New Roman" w:cs="Times New Roman"/>
          <w:sz w:val="24"/>
          <w:szCs w:val="24"/>
        </w:rPr>
        <w:t>4</w:t>
      </w:r>
      <w:bookmarkStart w:id="0" w:name="_GoBack"/>
      <w:bookmarkEnd w:id="0"/>
      <w:r w:rsidRPr="007E62AA">
        <w:rPr>
          <w:rFonts w:ascii="Times New Roman" w:hAnsi="Times New Roman" w:cs="Times New Roman"/>
          <w:sz w:val="24"/>
          <w:szCs w:val="24"/>
        </w:rPr>
        <w:t>/2023</w:t>
      </w:r>
    </w:p>
    <w:p w:rsidR="00C26E55" w:rsidRDefault="00C26E55" w:rsidP="002E3E1B">
      <w:pPr>
        <w:spacing w:after="0" w:line="240" w:lineRule="auto"/>
        <w:jc w:val="center"/>
        <w:rPr>
          <w:rFonts w:ascii="Times New Roman" w:hAnsi="Times New Roman" w:cs="Times New Roman"/>
          <w:color w:val="000000"/>
          <w:sz w:val="24"/>
          <w:szCs w:val="24"/>
        </w:rPr>
      </w:pPr>
    </w:p>
    <w:p w:rsidR="00415A7F" w:rsidRDefault="00B92C2E" w:rsidP="002E3E1B">
      <w:pPr>
        <w:spacing w:after="0" w:line="240" w:lineRule="auto"/>
        <w:jc w:val="center"/>
        <w:rPr>
          <w:rFonts w:ascii="Times New Roman" w:hAnsi="Times New Roman" w:cs="Times New Roman"/>
          <w:color w:val="000000"/>
          <w:sz w:val="24"/>
          <w:szCs w:val="24"/>
        </w:rPr>
      </w:pPr>
      <w:r w:rsidRPr="0071448D">
        <w:rPr>
          <w:rFonts w:ascii="Times New Roman" w:hAnsi="Times New Roman" w:cs="Times New Roman"/>
          <w:color w:val="000000"/>
          <w:sz w:val="24"/>
          <w:szCs w:val="24"/>
        </w:rPr>
        <w:t>ANAYASANIN 159’UNCU MADDESİNİN (1)’İNCİ FIKRASININ (b) BENDİ KAPSAMINA GİREN TAŞINMAZ MALLARIN TAZMİNİ, TAKASI VE İADESİ (DEĞİŞİKLİK) YASA</w:t>
      </w:r>
      <w:r w:rsidR="001B6DB8">
        <w:rPr>
          <w:rFonts w:ascii="Times New Roman" w:hAnsi="Times New Roman" w:cs="Times New Roman"/>
          <w:color w:val="000000"/>
          <w:sz w:val="24"/>
          <w:szCs w:val="24"/>
        </w:rPr>
        <w:t>SI</w:t>
      </w:r>
    </w:p>
    <w:p w:rsidR="00F40154" w:rsidRPr="0071448D" w:rsidRDefault="00F40154" w:rsidP="002E3E1B">
      <w:pPr>
        <w:spacing w:after="0" w:line="240" w:lineRule="auto"/>
        <w:jc w:val="center"/>
        <w:rPr>
          <w:rFonts w:ascii="Times New Roman" w:hAnsi="Times New Roman" w:cs="Times New Roman"/>
          <w:color w:val="000000"/>
          <w:sz w:val="24"/>
          <w:szCs w:val="24"/>
        </w:rPr>
      </w:pPr>
    </w:p>
    <w:tbl>
      <w:tblPr>
        <w:tblStyle w:val="TableGrid"/>
        <w:tblW w:w="94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284"/>
        <w:gridCol w:w="1370"/>
        <w:gridCol w:w="614"/>
        <w:gridCol w:w="5826"/>
      </w:tblGrid>
      <w:tr w:rsidR="00F40154" w:rsidRPr="0071448D" w:rsidTr="00452ED5">
        <w:tc>
          <w:tcPr>
            <w:tcW w:w="1668" w:type="dxa"/>
            <w:gridSpan w:val="2"/>
          </w:tcPr>
          <w:p w:rsidR="00F40154" w:rsidRPr="0071448D" w:rsidRDefault="00F40154" w:rsidP="00270F2C">
            <w:pPr>
              <w:rPr>
                <w:rFonts w:ascii="Times New Roman" w:hAnsi="Times New Roman" w:cs="Times New Roman"/>
                <w:sz w:val="24"/>
                <w:szCs w:val="24"/>
              </w:rPr>
            </w:pPr>
          </w:p>
        </w:tc>
        <w:tc>
          <w:tcPr>
            <w:tcW w:w="7810" w:type="dxa"/>
            <w:gridSpan w:val="3"/>
          </w:tcPr>
          <w:p w:rsidR="00F40154" w:rsidRPr="0071448D" w:rsidRDefault="00F40154" w:rsidP="00270F2C">
            <w:pPr>
              <w:rPr>
                <w:rFonts w:ascii="Times New Roman" w:hAnsi="Times New Roman" w:cs="Times New Roman"/>
                <w:color w:val="000000"/>
                <w:sz w:val="24"/>
                <w:szCs w:val="24"/>
              </w:rPr>
            </w:pPr>
            <w:r w:rsidRPr="0071448D">
              <w:rPr>
                <w:rFonts w:ascii="Times New Roman" w:hAnsi="Times New Roman" w:cs="Times New Roman"/>
                <w:color w:val="000000"/>
                <w:sz w:val="24"/>
                <w:szCs w:val="24"/>
              </w:rPr>
              <w:t xml:space="preserve">      Kuzey Kıbrıs Türk Cumhuriyeti Cumhuriyet Meclisi aşağıdaki Yasayı yapar:</w:t>
            </w:r>
          </w:p>
          <w:p w:rsidR="0071448D" w:rsidRPr="0071448D" w:rsidRDefault="0071448D" w:rsidP="00270F2C">
            <w:pPr>
              <w:rPr>
                <w:rFonts w:ascii="Times New Roman" w:hAnsi="Times New Roman" w:cs="Times New Roman"/>
                <w:color w:val="000000"/>
                <w:sz w:val="24"/>
                <w:szCs w:val="24"/>
              </w:rPr>
            </w:pPr>
          </w:p>
        </w:tc>
      </w:tr>
      <w:tr w:rsidR="0071448D" w:rsidRPr="0071448D" w:rsidTr="00452ED5">
        <w:trPr>
          <w:trHeight w:val="602"/>
        </w:trPr>
        <w:tc>
          <w:tcPr>
            <w:tcW w:w="1668" w:type="dxa"/>
            <w:gridSpan w:val="2"/>
          </w:tcPr>
          <w:p w:rsidR="0071448D" w:rsidRPr="0071448D" w:rsidRDefault="0071448D" w:rsidP="00F71724">
            <w:pPr>
              <w:jc w:val="both"/>
              <w:rPr>
                <w:rFonts w:ascii="Times New Roman" w:hAnsi="Times New Roman" w:cs="Times New Roman"/>
                <w:sz w:val="24"/>
                <w:szCs w:val="24"/>
              </w:rPr>
            </w:pPr>
            <w:r w:rsidRPr="0071448D">
              <w:rPr>
                <w:rFonts w:ascii="Times New Roman" w:hAnsi="Times New Roman" w:cs="Times New Roman"/>
                <w:sz w:val="24"/>
                <w:szCs w:val="24"/>
              </w:rPr>
              <w:t>Kısa İsim</w:t>
            </w:r>
          </w:p>
          <w:p w:rsidR="0071448D" w:rsidRPr="0071448D" w:rsidRDefault="0071448D" w:rsidP="0071448D">
            <w:pPr>
              <w:rPr>
                <w:rFonts w:ascii="Times New Roman" w:hAnsi="Times New Roman" w:cs="Times New Roman"/>
                <w:color w:val="000000"/>
                <w:sz w:val="24"/>
                <w:szCs w:val="24"/>
              </w:rPr>
            </w:pPr>
            <w:r w:rsidRPr="0071448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1448D">
              <w:rPr>
                <w:rFonts w:ascii="Times New Roman" w:hAnsi="Times New Roman" w:cs="Times New Roman"/>
                <w:sz w:val="24"/>
                <w:szCs w:val="24"/>
              </w:rPr>
              <w:t>67/2005</w:t>
            </w:r>
          </w:p>
        </w:tc>
        <w:tc>
          <w:tcPr>
            <w:tcW w:w="7810" w:type="dxa"/>
            <w:gridSpan w:val="3"/>
            <w:vMerge w:val="restart"/>
          </w:tcPr>
          <w:p w:rsidR="0071448D" w:rsidRPr="0071448D" w:rsidRDefault="0071448D" w:rsidP="00C13891">
            <w:pPr>
              <w:jc w:val="both"/>
              <w:rPr>
                <w:rFonts w:ascii="Times New Roman" w:hAnsi="Times New Roman" w:cs="Times New Roman"/>
                <w:color w:val="000000"/>
                <w:sz w:val="24"/>
                <w:szCs w:val="24"/>
              </w:rPr>
            </w:pPr>
            <w:r w:rsidRPr="0071448D">
              <w:rPr>
                <w:rFonts w:ascii="Times New Roman" w:hAnsi="Times New Roman" w:cs="Times New Roman"/>
                <w:color w:val="000000"/>
                <w:sz w:val="24"/>
                <w:szCs w:val="24"/>
              </w:rPr>
              <w:t>1. Bu Yasa, Anayasanın 159’uncu Maddesinin (1)’inci Fıkrasının (b) Bendi Kapsamına Giren Taşınmaz Malların Tazmini, Takası ve İadesi (Değişiklik) Yasası olarak isimlendirilir ve aşağıda “Esas Yasa” olarak anılan Anayasanın 159’uncu Maddesinin (1)’inci Fıkrasının (b) Bendi Kapsamına Giren Taşınmaz Malların Tazmini, Takası ve İadesi Yasası ile birlikte okunur.</w:t>
            </w:r>
          </w:p>
        </w:tc>
      </w:tr>
      <w:tr w:rsidR="0071448D" w:rsidRPr="0071448D" w:rsidTr="00452ED5">
        <w:trPr>
          <w:trHeight w:val="1273"/>
        </w:trPr>
        <w:tc>
          <w:tcPr>
            <w:tcW w:w="1384" w:type="dxa"/>
          </w:tcPr>
          <w:p w:rsidR="0071448D" w:rsidRPr="0071448D" w:rsidRDefault="0071448D" w:rsidP="0071448D">
            <w:pPr>
              <w:jc w:val="right"/>
              <w:rPr>
                <w:rFonts w:ascii="Times New Roman" w:hAnsi="Times New Roman" w:cs="Times New Roman"/>
                <w:sz w:val="24"/>
                <w:szCs w:val="24"/>
              </w:rPr>
            </w:pPr>
            <w:r w:rsidRPr="0071448D">
              <w:rPr>
                <w:rFonts w:ascii="Times New Roman" w:hAnsi="Times New Roman" w:cs="Times New Roman"/>
                <w:sz w:val="24"/>
                <w:szCs w:val="24"/>
              </w:rPr>
              <w:t>59/2006</w:t>
            </w:r>
          </w:p>
          <w:p w:rsidR="0071448D" w:rsidRPr="0071448D" w:rsidRDefault="0071448D" w:rsidP="0071448D">
            <w:pPr>
              <w:jc w:val="right"/>
              <w:rPr>
                <w:rFonts w:ascii="Times New Roman" w:hAnsi="Times New Roman" w:cs="Times New Roman"/>
                <w:sz w:val="24"/>
                <w:szCs w:val="24"/>
              </w:rPr>
            </w:pPr>
            <w:r w:rsidRPr="0071448D">
              <w:rPr>
                <w:rFonts w:ascii="Times New Roman" w:hAnsi="Times New Roman" w:cs="Times New Roman"/>
                <w:sz w:val="24"/>
                <w:szCs w:val="24"/>
              </w:rPr>
              <w:t xml:space="preserve"> 85/2007</w:t>
            </w:r>
          </w:p>
          <w:p w:rsidR="0071448D" w:rsidRPr="0071448D" w:rsidRDefault="0071448D" w:rsidP="0071448D">
            <w:pPr>
              <w:jc w:val="right"/>
              <w:rPr>
                <w:rFonts w:ascii="Times New Roman" w:hAnsi="Times New Roman" w:cs="Times New Roman"/>
                <w:sz w:val="24"/>
                <w:szCs w:val="24"/>
              </w:rPr>
            </w:pPr>
            <w:r w:rsidRPr="0071448D">
              <w:rPr>
                <w:rFonts w:ascii="Times New Roman" w:hAnsi="Times New Roman" w:cs="Times New Roman"/>
                <w:sz w:val="24"/>
                <w:szCs w:val="24"/>
              </w:rPr>
              <w:t xml:space="preserve"> 74/2009</w:t>
            </w:r>
          </w:p>
          <w:p w:rsidR="0071448D" w:rsidRPr="0071448D" w:rsidRDefault="0071448D" w:rsidP="0071448D">
            <w:pPr>
              <w:jc w:val="right"/>
              <w:rPr>
                <w:rFonts w:ascii="Times New Roman" w:hAnsi="Times New Roman" w:cs="Times New Roman"/>
                <w:sz w:val="24"/>
                <w:szCs w:val="24"/>
              </w:rPr>
            </w:pPr>
            <w:r w:rsidRPr="0071448D">
              <w:rPr>
                <w:rFonts w:ascii="Times New Roman" w:hAnsi="Times New Roman" w:cs="Times New Roman"/>
                <w:sz w:val="24"/>
                <w:szCs w:val="24"/>
              </w:rPr>
              <w:t xml:space="preserve"> 56/2011</w:t>
            </w:r>
          </w:p>
          <w:p w:rsidR="0071448D" w:rsidRPr="0071448D" w:rsidRDefault="0071448D" w:rsidP="0071448D">
            <w:pPr>
              <w:jc w:val="right"/>
              <w:rPr>
                <w:rFonts w:ascii="Times New Roman" w:hAnsi="Times New Roman" w:cs="Times New Roman"/>
                <w:sz w:val="24"/>
                <w:szCs w:val="24"/>
              </w:rPr>
            </w:pPr>
            <w:r w:rsidRPr="0071448D">
              <w:rPr>
                <w:rFonts w:ascii="Times New Roman" w:hAnsi="Times New Roman" w:cs="Times New Roman"/>
                <w:sz w:val="24"/>
                <w:szCs w:val="24"/>
              </w:rPr>
              <w:t xml:space="preserve"> 30/2013</w:t>
            </w:r>
          </w:p>
          <w:p w:rsidR="0071448D" w:rsidRPr="0071448D" w:rsidRDefault="0071448D" w:rsidP="0071448D">
            <w:pPr>
              <w:jc w:val="right"/>
              <w:rPr>
                <w:rFonts w:ascii="Times New Roman" w:hAnsi="Times New Roman" w:cs="Times New Roman"/>
                <w:sz w:val="24"/>
                <w:szCs w:val="24"/>
              </w:rPr>
            </w:pPr>
            <w:r w:rsidRPr="0071448D">
              <w:rPr>
                <w:rFonts w:ascii="Times New Roman" w:hAnsi="Times New Roman" w:cs="Times New Roman"/>
                <w:sz w:val="24"/>
                <w:szCs w:val="24"/>
              </w:rPr>
              <w:t xml:space="preserve"> 1/2016</w:t>
            </w:r>
          </w:p>
          <w:p w:rsidR="0071448D" w:rsidRPr="0071448D" w:rsidRDefault="0071448D" w:rsidP="0071448D">
            <w:pPr>
              <w:jc w:val="right"/>
              <w:rPr>
                <w:rFonts w:ascii="Times New Roman" w:hAnsi="Times New Roman" w:cs="Times New Roman"/>
                <w:sz w:val="24"/>
                <w:szCs w:val="24"/>
              </w:rPr>
            </w:pPr>
            <w:r w:rsidRPr="0071448D">
              <w:rPr>
                <w:rFonts w:ascii="Times New Roman" w:hAnsi="Times New Roman" w:cs="Times New Roman"/>
                <w:sz w:val="24"/>
                <w:szCs w:val="24"/>
              </w:rPr>
              <w:t xml:space="preserve"> 67/2017</w:t>
            </w:r>
          </w:p>
          <w:p w:rsidR="0071448D" w:rsidRPr="0071448D" w:rsidRDefault="0071448D" w:rsidP="0071448D">
            <w:pPr>
              <w:jc w:val="right"/>
              <w:rPr>
                <w:rFonts w:ascii="Times New Roman" w:hAnsi="Times New Roman" w:cs="Times New Roman"/>
                <w:sz w:val="24"/>
                <w:szCs w:val="24"/>
              </w:rPr>
            </w:pPr>
            <w:r w:rsidRPr="0071448D">
              <w:rPr>
                <w:rFonts w:ascii="Times New Roman" w:hAnsi="Times New Roman" w:cs="Times New Roman"/>
                <w:sz w:val="24"/>
                <w:szCs w:val="24"/>
              </w:rPr>
              <w:t>44/2019</w:t>
            </w:r>
          </w:p>
          <w:p w:rsidR="0071448D" w:rsidRDefault="0071448D" w:rsidP="0071448D">
            <w:pPr>
              <w:jc w:val="both"/>
              <w:rPr>
                <w:rFonts w:ascii="Times New Roman" w:hAnsi="Times New Roman" w:cs="Times New Roman"/>
                <w:sz w:val="24"/>
                <w:szCs w:val="24"/>
              </w:rPr>
            </w:pPr>
            <w:r>
              <w:rPr>
                <w:rFonts w:ascii="Times New Roman" w:hAnsi="Times New Roman" w:cs="Times New Roman"/>
                <w:sz w:val="24"/>
                <w:szCs w:val="24"/>
              </w:rPr>
              <w:t xml:space="preserve">      </w:t>
            </w:r>
            <w:r w:rsidRPr="0071448D">
              <w:rPr>
                <w:rFonts w:ascii="Times New Roman" w:hAnsi="Times New Roman" w:cs="Times New Roman"/>
                <w:sz w:val="24"/>
                <w:szCs w:val="24"/>
              </w:rPr>
              <w:t>28/2021</w:t>
            </w:r>
          </w:p>
          <w:p w:rsidR="0071448D" w:rsidRPr="0071448D" w:rsidRDefault="0071448D" w:rsidP="0071448D">
            <w:pPr>
              <w:jc w:val="both"/>
              <w:rPr>
                <w:rFonts w:ascii="Times New Roman" w:hAnsi="Times New Roman" w:cs="Times New Roman"/>
                <w:sz w:val="24"/>
                <w:szCs w:val="24"/>
              </w:rPr>
            </w:pPr>
          </w:p>
        </w:tc>
        <w:tc>
          <w:tcPr>
            <w:tcW w:w="284" w:type="dxa"/>
          </w:tcPr>
          <w:p w:rsidR="0071448D" w:rsidRPr="0071448D" w:rsidRDefault="0071448D" w:rsidP="00F71724">
            <w:pPr>
              <w:jc w:val="both"/>
              <w:rPr>
                <w:rFonts w:ascii="Times New Roman" w:hAnsi="Times New Roman" w:cs="Times New Roman"/>
                <w:sz w:val="24"/>
                <w:szCs w:val="24"/>
              </w:rPr>
            </w:pPr>
          </w:p>
        </w:tc>
        <w:tc>
          <w:tcPr>
            <w:tcW w:w="7810" w:type="dxa"/>
            <w:gridSpan w:val="3"/>
            <w:vMerge/>
          </w:tcPr>
          <w:p w:rsidR="0071448D" w:rsidRPr="0071448D" w:rsidRDefault="0071448D" w:rsidP="0071448D">
            <w:pPr>
              <w:jc w:val="both"/>
              <w:rPr>
                <w:rFonts w:ascii="Times New Roman" w:hAnsi="Times New Roman" w:cs="Times New Roman"/>
                <w:color w:val="000000"/>
                <w:sz w:val="24"/>
                <w:szCs w:val="24"/>
              </w:rPr>
            </w:pPr>
          </w:p>
        </w:tc>
      </w:tr>
      <w:tr w:rsidR="00636995" w:rsidRPr="0071448D" w:rsidTr="00452ED5">
        <w:tc>
          <w:tcPr>
            <w:tcW w:w="1668" w:type="dxa"/>
            <w:gridSpan w:val="2"/>
          </w:tcPr>
          <w:p w:rsidR="0071448D" w:rsidRPr="0071448D" w:rsidRDefault="00636995" w:rsidP="00452ED5">
            <w:pPr>
              <w:rPr>
                <w:rFonts w:ascii="Times New Roman" w:hAnsi="Times New Roman" w:cs="Times New Roman"/>
                <w:sz w:val="24"/>
                <w:szCs w:val="24"/>
              </w:rPr>
            </w:pPr>
            <w:r w:rsidRPr="0071448D">
              <w:rPr>
                <w:rFonts w:ascii="Times New Roman" w:hAnsi="Times New Roman" w:cs="Times New Roman"/>
                <w:sz w:val="24"/>
                <w:szCs w:val="24"/>
              </w:rPr>
              <w:t>Esas Yasa</w:t>
            </w:r>
            <w:r w:rsidR="00C13891">
              <w:rPr>
                <w:rFonts w:ascii="Times New Roman" w:hAnsi="Times New Roman" w:cs="Times New Roman"/>
                <w:sz w:val="24"/>
                <w:szCs w:val="24"/>
              </w:rPr>
              <w:t>nın</w:t>
            </w:r>
            <w:r w:rsidRPr="0071448D">
              <w:rPr>
                <w:rFonts w:ascii="Times New Roman" w:hAnsi="Times New Roman" w:cs="Times New Roman"/>
                <w:sz w:val="24"/>
                <w:szCs w:val="24"/>
              </w:rPr>
              <w:t xml:space="preserve"> 4’üncü Maddesinin </w:t>
            </w:r>
          </w:p>
        </w:tc>
        <w:tc>
          <w:tcPr>
            <w:tcW w:w="7810" w:type="dxa"/>
            <w:gridSpan w:val="3"/>
          </w:tcPr>
          <w:p w:rsidR="00636995" w:rsidRPr="0071448D" w:rsidRDefault="00636995" w:rsidP="0071448D">
            <w:pPr>
              <w:jc w:val="both"/>
              <w:rPr>
                <w:rFonts w:ascii="Times New Roman" w:hAnsi="Times New Roman" w:cs="Times New Roman"/>
                <w:color w:val="000000"/>
                <w:sz w:val="24"/>
                <w:szCs w:val="24"/>
              </w:rPr>
            </w:pPr>
            <w:r w:rsidRPr="0071448D">
              <w:rPr>
                <w:rFonts w:ascii="Times New Roman" w:hAnsi="Times New Roman" w:cs="Times New Roman"/>
                <w:color w:val="000000"/>
                <w:sz w:val="24"/>
                <w:szCs w:val="24"/>
              </w:rPr>
              <w:t>2.</w:t>
            </w:r>
            <w:r w:rsidRPr="0071448D">
              <w:rPr>
                <w:rFonts w:ascii="Times New Roman" w:hAnsi="Times New Roman" w:cs="Times New Roman"/>
                <w:sz w:val="24"/>
                <w:szCs w:val="24"/>
              </w:rPr>
              <w:t xml:space="preserve"> Esas Yasa, 4’üncü maddesinin (1)’inci fıkrası kaldırılmak ve yerine aşağıdaki yeni (1)’inci fıkra konmak suretiyle değiştirilir</w:t>
            </w:r>
            <w:r w:rsidR="00C13891">
              <w:rPr>
                <w:rFonts w:ascii="Times New Roman" w:hAnsi="Times New Roman" w:cs="Times New Roman"/>
                <w:sz w:val="24"/>
                <w:szCs w:val="24"/>
              </w:rPr>
              <w:t>:</w:t>
            </w:r>
          </w:p>
          <w:p w:rsidR="00636995" w:rsidRPr="0071448D" w:rsidRDefault="00636995" w:rsidP="00F71724">
            <w:pPr>
              <w:jc w:val="both"/>
              <w:rPr>
                <w:rFonts w:ascii="Times New Roman" w:hAnsi="Times New Roman" w:cs="Times New Roman"/>
                <w:color w:val="000000"/>
                <w:sz w:val="24"/>
                <w:szCs w:val="24"/>
              </w:rPr>
            </w:pPr>
          </w:p>
        </w:tc>
      </w:tr>
      <w:tr w:rsidR="00F71724" w:rsidRPr="0071448D" w:rsidTr="00452ED5">
        <w:tc>
          <w:tcPr>
            <w:tcW w:w="1668" w:type="dxa"/>
            <w:gridSpan w:val="2"/>
          </w:tcPr>
          <w:p w:rsidR="007D6C58" w:rsidRPr="0071448D" w:rsidRDefault="00452ED5" w:rsidP="00F71724">
            <w:pPr>
              <w:rPr>
                <w:rFonts w:ascii="Times New Roman" w:hAnsi="Times New Roman" w:cs="Times New Roman"/>
                <w:sz w:val="24"/>
                <w:szCs w:val="24"/>
              </w:rPr>
            </w:pPr>
            <w:r w:rsidRPr="0071448D">
              <w:rPr>
                <w:rFonts w:ascii="Times New Roman" w:hAnsi="Times New Roman" w:cs="Times New Roman"/>
                <w:sz w:val="24"/>
                <w:szCs w:val="24"/>
              </w:rPr>
              <w:t>Değiştirilmesi</w:t>
            </w:r>
          </w:p>
          <w:p w:rsidR="007D6C58" w:rsidRPr="0071448D" w:rsidRDefault="007D6C58" w:rsidP="007D6C58">
            <w:pPr>
              <w:rPr>
                <w:rFonts w:ascii="Times New Roman" w:hAnsi="Times New Roman" w:cs="Times New Roman"/>
                <w:sz w:val="24"/>
                <w:szCs w:val="24"/>
              </w:rPr>
            </w:pPr>
          </w:p>
          <w:p w:rsidR="007D6C58" w:rsidRPr="0071448D" w:rsidRDefault="007D6C58" w:rsidP="007D6C58">
            <w:pPr>
              <w:rPr>
                <w:rFonts w:ascii="Times New Roman" w:hAnsi="Times New Roman" w:cs="Times New Roman"/>
                <w:sz w:val="24"/>
                <w:szCs w:val="24"/>
              </w:rPr>
            </w:pPr>
          </w:p>
          <w:p w:rsidR="007D6C58" w:rsidRPr="0071448D" w:rsidRDefault="007D6C58" w:rsidP="007D6C58">
            <w:pPr>
              <w:rPr>
                <w:rFonts w:ascii="Times New Roman" w:hAnsi="Times New Roman" w:cs="Times New Roman"/>
                <w:sz w:val="24"/>
                <w:szCs w:val="24"/>
              </w:rPr>
            </w:pPr>
          </w:p>
          <w:p w:rsidR="007D6C58" w:rsidRPr="0071448D" w:rsidRDefault="007D6C58" w:rsidP="007D6C58">
            <w:pPr>
              <w:rPr>
                <w:rFonts w:ascii="Times New Roman" w:hAnsi="Times New Roman" w:cs="Times New Roman"/>
                <w:sz w:val="24"/>
                <w:szCs w:val="24"/>
              </w:rPr>
            </w:pPr>
          </w:p>
          <w:p w:rsidR="00F87109" w:rsidRPr="0071448D" w:rsidRDefault="00F87109" w:rsidP="00F40154">
            <w:pPr>
              <w:jc w:val="right"/>
              <w:rPr>
                <w:rFonts w:ascii="Times New Roman" w:hAnsi="Times New Roman" w:cs="Times New Roman"/>
                <w:sz w:val="24"/>
                <w:szCs w:val="24"/>
              </w:rPr>
            </w:pPr>
          </w:p>
        </w:tc>
        <w:tc>
          <w:tcPr>
            <w:tcW w:w="1370" w:type="dxa"/>
          </w:tcPr>
          <w:p w:rsidR="00F71724" w:rsidRPr="0071448D" w:rsidRDefault="00F71724" w:rsidP="00F71724">
            <w:pPr>
              <w:rPr>
                <w:rFonts w:ascii="Times New Roman" w:hAnsi="Times New Roman" w:cs="Times New Roman"/>
                <w:color w:val="000000"/>
                <w:sz w:val="24"/>
                <w:szCs w:val="24"/>
              </w:rPr>
            </w:pPr>
          </w:p>
          <w:p w:rsidR="00F40154" w:rsidRPr="0071448D" w:rsidRDefault="00F40154" w:rsidP="00F71724">
            <w:pPr>
              <w:rPr>
                <w:rFonts w:ascii="Times New Roman" w:hAnsi="Times New Roman" w:cs="Times New Roman"/>
                <w:color w:val="000000"/>
                <w:sz w:val="24"/>
                <w:szCs w:val="24"/>
              </w:rPr>
            </w:pPr>
          </w:p>
          <w:p w:rsidR="00F40154" w:rsidRPr="0071448D" w:rsidRDefault="00F40154" w:rsidP="00F71724">
            <w:pPr>
              <w:rPr>
                <w:rFonts w:ascii="Times New Roman" w:hAnsi="Times New Roman" w:cs="Times New Roman"/>
                <w:color w:val="000000"/>
                <w:sz w:val="24"/>
                <w:szCs w:val="24"/>
              </w:rPr>
            </w:pPr>
          </w:p>
          <w:p w:rsidR="00F40154" w:rsidRPr="0071448D" w:rsidRDefault="00F40154" w:rsidP="00F71724">
            <w:pPr>
              <w:rPr>
                <w:rFonts w:ascii="Times New Roman" w:hAnsi="Times New Roman" w:cs="Times New Roman"/>
                <w:color w:val="000000"/>
                <w:sz w:val="24"/>
                <w:szCs w:val="24"/>
              </w:rPr>
            </w:pPr>
          </w:p>
          <w:p w:rsidR="00F40154" w:rsidRPr="0071448D" w:rsidRDefault="00F40154" w:rsidP="00F71724">
            <w:pPr>
              <w:rPr>
                <w:rFonts w:ascii="Times New Roman" w:hAnsi="Times New Roman" w:cs="Times New Roman"/>
                <w:color w:val="000000"/>
                <w:sz w:val="24"/>
                <w:szCs w:val="24"/>
              </w:rPr>
            </w:pPr>
          </w:p>
          <w:p w:rsidR="00F40154" w:rsidRPr="0071448D" w:rsidRDefault="00F40154" w:rsidP="00F71724">
            <w:pPr>
              <w:rPr>
                <w:rFonts w:ascii="Times New Roman" w:hAnsi="Times New Roman" w:cs="Times New Roman"/>
                <w:color w:val="000000"/>
                <w:sz w:val="24"/>
                <w:szCs w:val="24"/>
              </w:rPr>
            </w:pPr>
          </w:p>
          <w:p w:rsidR="00F40154" w:rsidRPr="0071448D" w:rsidRDefault="00917E80" w:rsidP="00F427D8">
            <w:pPr>
              <w:rPr>
                <w:rFonts w:ascii="Times New Roman" w:hAnsi="Times New Roman" w:cs="Times New Roman"/>
                <w:sz w:val="24"/>
                <w:szCs w:val="24"/>
              </w:rPr>
            </w:pPr>
            <w:r>
              <w:rPr>
                <w:rFonts w:ascii="Times New Roman" w:hAnsi="Times New Roman" w:cs="Times New Roman"/>
                <w:sz w:val="24"/>
                <w:szCs w:val="24"/>
              </w:rPr>
              <w:t xml:space="preserve"> </w:t>
            </w:r>
            <w:r w:rsidR="00F40154" w:rsidRPr="0071448D">
              <w:rPr>
                <w:rFonts w:ascii="Times New Roman" w:hAnsi="Times New Roman" w:cs="Times New Roman"/>
                <w:sz w:val="24"/>
                <w:szCs w:val="24"/>
              </w:rPr>
              <w:t>Fasıl 6</w:t>
            </w:r>
          </w:p>
          <w:p w:rsidR="00F40154" w:rsidRPr="0071448D" w:rsidRDefault="00F40154" w:rsidP="00F40154">
            <w:pPr>
              <w:ind w:left="1559" w:hanging="1559"/>
              <w:jc w:val="right"/>
              <w:rPr>
                <w:rFonts w:ascii="Times New Roman" w:hAnsi="Times New Roman" w:cs="Times New Roman"/>
                <w:sz w:val="24"/>
                <w:szCs w:val="24"/>
              </w:rPr>
            </w:pPr>
            <w:r w:rsidRPr="0071448D">
              <w:rPr>
                <w:rFonts w:ascii="Times New Roman" w:hAnsi="Times New Roman" w:cs="Times New Roman"/>
                <w:sz w:val="24"/>
                <w:szCs w:val="24"/>
              </w:rPr>
              <w:t>9/1971</w:t>
            </w:r>
          </w:p>
          <w:p w:rsidR="00F40154" w:rsidRPr="0071448D" w:rsidRDefault="00F40154" w:rsidP="00F40154">
            <w:pPr>
              <w:ind w:left="1559" w:hanging="1559"/>
              <w:jc w:val="right"/>
              <w:rPr>
                <w:rFonts w:ascii="Times New Roman" w:hAnsi="Times New Roman" w:cs="Times New Roman"/>
                <w:sz w:val="24"/>
                <w:szCs w:val="24"/>
              </w:rPr>
            </w:pPr>
            <w:r w:rsidRPr="0071448D">
              <w:rPr>
                <w:rFonts w:ascii="Times New Roman" w:hAnsi="Times New Roman" w:cs="Times New Roman"/>
                <w:sz w:val="24"/>
                <w:szCs w:val="24"/>
              </w:rPr>
              <w:t>23/1984</w:t>
            </w:r>
          </w:p>
          <w:p w:rsidR="00F40154" w:rsidRPr="0071448D" w:rsidRDefault="00F40154" w:rsidP="00F40154">
            <w:pPr>
              <w:ind w:left="1559" w:hanging="1559"/>
              <w:jc w:val="right"/>
              <w:rPr>
                <w:rFonts w:ascii="Times New Roman" w:hAnsi="Times New Roman" w:cs="Times New Roman"/>
                <w:sz w:val="24"/>
                <w:szCs w:val="24"/>
              </w:rPr>
            </w:pPr>
            <w:r w:rsidRPr="0071448D">
              <w:rPr>
                <w:rFonts w:ascii="Times New Roman" w:hAnsi="Times New Roman" w:cs="Times New Roman"/>
                <w:sz w:val="24"/>
                <w:szCs w:val="24"/>
              </w:rPr>
              <w:t>31/2003</w:t>
            </w:r>
          </w:p>
          <w:p w:rsidR="00F40154" w:rsidRPr="0071448D" w:rsidRDefault="00F40154" w:rsidP="00F40154">
            <w:pPr>
              <w:ind w:left="1559" w:hanging="1559"/>
              <w:jc w:val="right"/>
              <w:rPr>
                <w:rFonts w:ascii="Times New Roman" w:hAnsi="Times New Roman" w:cs="Times New Roman"/>
                <w:sz w:val="24"/>
                <w:szCs w:val="24"/>
              </w:rPr>
            </w:pPr>
            <w:r w:rsidRPr="0071448D">
              <w:rPr>
                <w:rFonts w:ascii="Times New Roman" w:hAnsi="Times New Roman" w:cs="Times New Roman"/>
                <w:sz w:val="24"/>
                <w:szCs w:val="24"/>
              </w:rPr>
              <w:t>86/2007</w:t>
            </w:r>
          </w:p>
          <w:p w:rsidR="00F40154" w:rsidRPr="0071448D" w:rsidRDefault="00F40154" w:rsidP="00F40154">
            <w:pPr>
              <w:ind w:left="1559" w:hanging="1559"/>
              <w:jc w:val="right"/>
              <w:rPr>
                <w:rFonts w:ascii="Times New Roman" w:hAnsi="Times New Roman" w:cs="Times New Roman"/>
                <w:sz w:val="24"/>
                <w:szCs w:val="24"/>
              </w:rPr>
            </w:pPr>
            <w:r w:rsidRPr="0071448D">
              <w:rPr>
                <w:rFonts w:ascii="Times New Roman" w:hAnsi="Times New Roman" w:cs="Times New Roman"/>
                <w:sz w:val="24"/>
                <w:szCs w:val="24"/>
              </w:rPr>
              <w:t>12/2014</w:t>
            </w:r>
          </w:p>
          <w:p w:rsidR="00F40154" w:rsidRPr="0071448D" w:rsidRDefault="00F40154" w:rsidP="00F40154">
            <w:pPr>
              <w:jc w:val="right"/>
              <w:rPr>
                <w:rFonts w:ascii="Times New Roman" w:hAnsi="Times New Roman" w:cs="Times New Roman"/>
                <w:sz w:val="24"/>
                <w:szCs w:val="24"/>
              </w:rPr>
            </w:pPr>
            <w:r w:rsidRPr="0071448D">
              <w:rPr>
                <w:rFonts w:ascii="Times New Roman" w:hAnsi="Times New Roman" w:cs="Times New Roman"/>
                <w:sz w:val="24"/>
                <w:szCs w:val="24"/>
              </w:rPr>
              <w:t>37/2019</w:t>
            </w:r>
          </w:p>
          <w:p w:rsidR="00F40154" w:rsidRPr="0071448D" w:rsidRDefault="00F40154" w:rsidP="00F71724">
            <w:pPr>
              <w:rPr>
                <w:rFonts w:ascii="Times New Roman" w:hAnsi="Times New Roman" w:cs="Times New Roman"/>
                <w:color w:val="000000"/>
                <w:sz w:val="24"/>
                <w:szCs w:val="24"/>
              </w:rPr>
            </w:pPr>
          </w:p>
        </w:tc>
        <w:tc>
          <w:tcPr>
            <w:tcW w:w="614" w:type="dxa"/>
          </w:tcPr>
          <w:p w:rsidR="00F71724" w:rsidRPr="0071448D" w:rsidRDefault="00F71724" w:rsidP="00F71724">
            <w:pPr>
              <w:jc w:val="both"/>
              <w:rPr>
                <w:rFonts w:ascii="Times New Roman" w:hAnsi="Times New Roman" w:cs="Times New Roman"/>
                <w:sz w:val="24"/>
                <w:szCs w:val="24"/>
              </w:rPr>
            </w:pPr>
            <w:r w:rsidRPr="0071448D">
              <w:rPr>
                <w:rFonts w:ascii="Times New Roman" w:hAnsi="Times New Roman" w:cs="Times New Roman"/>
                <w:sz w:val="24"/>
                <w:szCs w:val="24"/>
              </w:rPr>
              <w:t>“(1)</w:t>
            </w:r>
          </w:p>
          <w:p w:rsidR="00F71724" w:rsidRPr="0071448D" w:rsidRDefault="00F71724" w:rsidP="00F71724">
            <w:pPr>
              <w:rPr>
                <w:rFonts w:ascii="Times New Roman" w:hAnsi="Times New Roman" w:cs="Times New Roman"/>
                <w:sz w:val="24"/>
                <w:szCs w:val="24"/>
              </w:rPr>
            </w:pPr>
          </w:p>
          <w:p w:rsidR="00F71724" w:rsidRPr="0071448D" w:rsidRDefault="00F71724" w:rsidP="00F71724">
            <w:pPr>
              <w:rPr>
                <w:rFonts w:ascii="Times New Roman" w:hAnsi="Times New Roman" w:cs="Times New Roman"/>
                <w:sz w:val="24"/>
                <w:szCs w:val="24"/>
              </w:rPr>
            </w:pPr>
          </w:p>
          <w:p w:rsidR="00F71724" w:rsidRPr="0071448D" w:rsidRDefault="00F71724" w:rsidP="00F71724">
            <w:pPr>
              <w:rPr>
                <w:rFonts w:ascii="Times New Roman" w:hAnsi="Times New Roman" w:cs="Times New Roman"/>
                <w:sz w:val="24"/>
                <w:szCs w:val="24"/>
              </w:rPr>
            </w:pPr>
          </w:p>
          <w:p w:rsidR="00F71724" w:rsidRPr="0071448D" w:rsidRDefault="00F71724" w:rsidP="00F71724">
            <w:pPr>
              <w:rPr>
                <w:rFonts w:ascii="Times New Roman" w:hAnsi="Times New Roman" w:cs="Times New Roman"/>
                <w:sz w:val="24"/>
                <w:szCs w:val="24"/>
              </w:rPr>
            </w:pPr>
          </w:p>
          <w:p w:rsidR="00F71724" w:rsidRPr="0071448D" w:rsidRDefault="00F71724" w:rsidP="00F71724">
            <w:pPr>
              <w:rPr>
                <w:rFonts w:ascii="Times New Roman" w:hAnsi="Times New Roman" w:cs="Times New Roman"/>
                <w:sz w:val="24"/>
                <w:szCs w:val="24"/>
              </w:rPr>
            </w:pPr>
          </w:p>
          <w:p w:rsidR="00F71724" w:rsidRPr="0071448D" w:rsidRDefault="00F71724" w:rsidP="00F71724">
            <w:pPr>
              <w:rPr>
                <w:rFonts w:ascii="Times New Roman" w:hAnsi="Times New Roman" w:cs="Times New Roman"/>
                <w:sz w:val="24"/>
                <w:szCs w:val="24"/>
              </w:rPr>
            </w:pPr>
          </w:p>
        </w:tc>
        <w:tc>
          <w:tcPr>
            <w:tcW w:w="5826" w:type="dxa"/>
          </w:tcPr>
          <w:p w:rsidR="00F71724" w:rsidRPr="0071448D" w:rsidRDefault="00F71724" w:rsidP="00452ED5">
            <w:pPr>
              <w:jc w:val="both"/>
              <w:rPr>
                <w:rFonts w:ascii="Times New Roman" w:hAnsi="Times New Roman" w:cs="Times New Roman"/>
                <w:sz w:val="24"/>
                <w:szCs w:val="24"/>
              </w:rPr>
            </w:pPr>
            <w:r w:rsidRPr="0071448D">
              <w:rPr>
                <w:rFonts w:ascii="Times New Roman" w:hAnsi="Times New Roman" w:cs="Times New Roman"/>
                <w:sz w:val="24"/>
                <w:szCs w:val="24"/>
              </w:rPr>
              <w:t xml:space="preserve">Bu Yasa kapsamına giren taşınır ve taşınmaz mallar üzerinde hak iddiasında </w:t>
            </w:r>
            <w:r w:rsidRPr="0071448D">
              <w:rPr>
                <w:rFonts w:ascii="Times New Roman" w:hAnsi="Times New Roman" w:cs="Times New Roman"/>
                <w:spacing w:val="-2"/>
                <w:sz w:val="24"/>
                <w:szCs w:val="24"/>
              </w:rPr>
              <w:t xml:space="preserve">bulunan gerçek veya tüzel </w:t>
            </w:r>
            <w:r w:rsidRPr="0071448D">
              <w:rPr>
                <w:rFonts w:ascii="Times New Roman" w:hAnsi="Times New Roman" w:cs="Times New Roman"/>
                <w:sz w:val="24"/>
                <w:szCs w:val="24"/>
              </w:rPr>
              <w:t xml:space="preserve">kişiler, bu Yasanın 11’inci maddesiyle oluşturulan Taşınmaz Mal Komisyonuna, şahsen veya vekil vasıtasıyla, 21 Aralık 2025 tarihine kadar </w:t>
            </w:r>
            <w:r w:rsidRPr="0071448D">
              <w:rPr>
                <w:rFonts w:ascii="Times New Roman" w:hAnsi="Times New Roman" w:cs="Times New Roman"/>
                <w:spacing w:val="-2"/>
                <w:sz w:val="24"/>
                <w:szCs w:val="24"/>
              </w:rPr>
              <w:t xml:space="preserve">başvuruda </w:t>
            </w:r>
            <w:r w:rsidRPr="0071448D">
              <w:rPr>
                <w:rFonts w:ascii="Times New Roman" w:hAnsi="Times New Roman" w:cs="Times New Roman"/>
                <w:sz w:val="24"/>
                <w:szCs w:val="24"/>
              </w:rPr>
              <w:t xml:space="preserve">bulunarak mallarının iade edilmesi, takas veya tazminat talebinde bulunabilirler. </w:t>
            </w:r>
            <w:r w:rsidRPr="0071448D">
              <w:rPr>
                <w:rFonts w:ascii="Times New Roman" w:hAnsi="Times New Roman" w:cs="Times New Roman"/>
                <w:spacing w:val="-2"/>
                <w:sz w:val="24"/>
                <w:szCs w:val="24"/>
              </w:rPr>
              <w:t>Komisyona</w:t>
            </w:r>
            <w:r w:rsidRPr="0071448D">
              <w:rPr>
                <w:rFonts w:ascii="Times New Roman" w:hAnsi="Times New Roman" w:cs="Times New Roman"/>
                <w:sz w:val="24"/>
                <w:szCs w:val="24"/>
              </w:rPr>
              <w:t xml:space="preserve"> </w:t>
            </w:r>
            <w:r w:rsidRPr="0071448D">
              <w:rPr>
                <w:rFonts w:ascii="Times New Roman" w:hAnsi="Times New Roman" w:cs="Times New Roman"/>
                <w:spacing w:val="-4"/>
                <w:sz w:val="24"/>
                <w:szCs w:val="24"/>
              </w:rPr>
              <w:t xml:space="preserve">yapılacak </w:t>
            </w:r>
            <w:r w:rsidRPr="0071448D">
              <w:rPr>
                <w:rFonts w:ascii="Times New Roman" w:hAnsi="Times New Roman" w:cs="Times New Roman"/>
                <w:sz w:val="24"/>
                <w:szCs w:val="24"/>
              </w:rPr>
              <w:t xml:space="preserve">başvurular, </w:t>
            </w:r>
            <w:r w:rsidRPr="0071448D">
              <w:rPr>
                <w:rFonts w:ascii="Times New Roman" w:hAnsi="Times New Roman" w:cs="Times New Roman"/>
                <w:spacing w:val="-3"/>
                <w:sz w:val="24"/>
                <w:szCs w:val="24"/>
              </w:rPr>
              <w:t xml:space="preserve">Hukuk </w:t>
            </w:r>
            <w:r w:rsidRPr="0071448D">
              <w:rPr>
                <w:rFonts w:ascii="Times New Roman" w:hAnsi="Times New Roman" w:cs="Times New Roman"/>
                <w:sz w:val="24"/>
                <w:szCs w:val="24"/>
              </w:rPr>
              <w:t xml:space="preserve">Muhakemeleri Usulü Yasasına ve bu Yasaya bağlı olarak çıkarılan Tüzüğe tabidir ve mevzuatta aksine kural </w:t>
            </w:r>
            <w:r w:rsidRPr="0071448D">
              <w:rPr>
                <w:rFonts w:ascii="Times New Roman" w:hAnsi="Times New Roman" w:cs="Times New Roman"/>
                <w:spacing w:val="-1"/>
                <w:sz w:val="24"/>
                <w:szCs w:val="24"/>
              </w:rPr>
              <w:t>bulunup</w:t>
            </w:r>
            <w:r w:rsidRPr="0071448D">
              <w:rPr>
                <w:rFonts w:ascii="Times New Roman" w:hAnsi="Times New Roman" w:cs="Times New Roman"/>
                <w:sz w:val="24"/>
                <w:szCs w:val="24"/>
              </w:rPr>
              <w:t xml:space="preserve"> bulunmadığına bakılmaksızın bu başvurular </w:t>
            </w:r>
            <w:r w:rsidRPr="0071448D">
              <w:rPr>
                <w:rFonts w:ascii="Times New Roman" w:hAnsi="Times New Roman" w:cs="Times New Roman"/>
                <w:spacing w:val="-1"/>
                <w:sz w:val="24"/>
                <w:szCs w:val="24"/>
              </w:rPr>
              <w:t>için sadece 250.-TL (İki Yüz Elli Türk Lirası</w:t>
            </w:r>
            <w:r w:rsidRPr="0071448D">
              <w:rPr>
                <w:rFonts w:ascii="Times New Roman" w:hAnsi="Times New Roman" w:cs="Times New Roman"/>
                <w:sz w:val="24"/>
                <w:szCs w:val="24"/>
              </w:rPr>
              <w:t>) harç ödenir. ”</w:t>
            </w:r>
          </w:p>
        </w:tc>
      </w:tr>
      <w:tr w:rsidR="00636995" w:rsidRPr="0071448D" w:rsidTr="00452ED5">
        <w:tc>
          <w:tcPr>
            <w:tcW w:w="1668" w:type="dxa"/>
            <w:gridSpan w:val="2"/>
          </w:tcPr>
          <w:p w:rsidR="00636995" w:rsidRPr="0071448D" w:rsidRDefault="00636995" w:rsidP="00F71724">
            <w:pPr>
              <w:rPr>
                <w:rFonts w:ascii="Times New Roman" w:hAnsi="Times New Roman" w:cs="Times New Roman"/>
                <w:sz w:val="24"/>
                <w:szCs w:val="24"/>
              </w:rPr>
            </w:pPr>
            <w:r w:rsidRPr="0071448D">
              <w:rPr>
                <w:rFonts w:ascii="Times New Roman" w:hAnsi="Times New Roman" w:cs="Times New Roman"/>
                <w:sz w:val="24"/>
                <w:szCs w:val="24"/>
              </w:rPr>
              <w:t>Yürürlüğe Giriş</w:t>
            </w:r>
          </w:p>
        </w:tc>
        <w:tc>
          <w:tcPr>
            <w:tcW w:w="7810" w:type="dxa"/>
            <w:gridSpan w:val="3"/>
          </w:tcPr>
          <w:p w:rsidR="00636995" w:rsidRPr="0071448D" w:rsidRDefault="00636995" w:rsidP="0071448D">
            <w:pPr>
              <w:jc w:val="both"/>
              <w:rPr>
                <w:rFonts w:ascii="Times New Roman" w:hAnsi="Times New Roman" w:cs="Times New Roman"/>
                <w:color w:val="000000"/>
                <w:sz w:val="24"/>
                <w:szCs w:val="24"/>
              </w:rPr>
            </w:pPr>
            <w:r w:rsidRPr="0071448D">
              <w:rPr>
                <w:rFonts w:ascii="Times New Roman" w:hAnsi="Times New Roman" w:cs="Times New Roman"/>
                <w:color w:val="000000"/>
                <w:sz w:val="24"/>
                <w:szCs w:val="24"/>
              </w:rPr>
              <w:t>3.</w:t>
            </w:r>
            <w:r w:rsidRPr="0071448D">
              <w:rPr>
                <w:rFonts w:ascii="Times New Roman" w:hAnsi="Times New Roman" w:cs="Times New Roman"/>
                <w:sz w:val="24"/>
                <w:szCs w:val="24"/>
              </w:rPr>
              <w:t xml:space="preserve"> Bu Yasa, Resmi Gazete’ de yayımlandığı tarihten başlayarak yürürlüğe girer.</w:t>
            </w:r>
          </w:p>
        </w:tc>
      </w:tr>
    </w:tbl>
    <w:p w:rsidR="00782E1F" w:rsidRDefault="00782E1F" w:rsidP="00BA7D37">
      <w:pPr>
        <w:spacing w:after="0" w:line="240" w:lineRule="auto"/>
        <w:rPr>
          <w:rFonts w:ascii="Times New Roman" w:hAnsi="Times New Roman" w:cs="Times New Roman"/>
          <w:color w:val="000000"/>
          <w:sz w:val="24"/>
          <w:szCs w:val="24"/>
        </w:rPr>
      </w:pPr>
    </w:p>
    <w:sectPr w:rsidR="00782E1F" w:rsidSect="00BA7D37">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02FDC"/>
    <w:multiLevelType w:val="hybridMultilevel"/>
    <w:tmpl w:val="F1529824"/>
    <w:lvl w:ilvl="0" w:tplc="7F8450A2">
      <w:start w:val="1"/>
      <w:numFmt w:val="decimal"/>
      <w:lvlText w:val="%1."/>
      <w:lvlJc w:val="left"/>
      <w:pPr>
        <w:ind w:left="36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068"/>
    <w:rsid w:val="00000DA7"/>
    <w:rsid w:val="000B303F"/>
    <w:rsid w:val="000B634C"/>
    <w:rsid w:val="000C0F17"/>
    <w:rsid w:val="00122DD8"/>
    <w:rsid w:val="00171068"/>
    <w:rsid w:val="00175648"/>
    <w:rsid w:val="00183F4C"/>
    <w:rsid w:val="001B6DB8"/>
    <w:rsid w:val="001E570E"/>
    <w:rsid w:val="00241613"/>
    <w:rsid w:val="0029146E"/>
    <w:rsid w:val="002D2829"/>
    <w:rsid w:val="002E3E1B"/>
    <w:rsid w:val="00332658"/>
    <w:rsid w:val="0033459B"/>
    <w:rsid w:val="00355AA5"/>
    <w:rsid w:val="003A053D"/>
    <w:rsid w:val="003B1EE4"/>
    <w:rsid w:val="003F21B7"/>
    <w:rsid w:val="003F4F4A"/>
    <w:rsid w:val="00410B61"/>
    <w:rsid w:val="00412088"/>
    <w:rsid w:val="00415A7F"/>
    <w:rsid w:val="00452ED5"/>
    <w:rsid w:val="00454D8E"/>
    <w:rsid w:val="00483EAE"/>
    <w:rsid w:val="00487430"/>
    <w:rsid w:val="004B689B"/>
    <w:rsid w:val="004C0943"/>
    <w:rsid w:val="004D2B35"/>
    <w:rsid w:val="004E0A87"/>
    <w:rsid w:val="00516A1E"/>
    <w:rsid w:val="005234B9"/>
    <w:rsid w:val="00581F21"/>
    <w:rsid w:val="00585D36"/>
    <w:rsid w:val="005C3957"/>
    <w:rsid w:val="00625798"/>
    <w:rsid w:val="00635B13"/>
    <w:rsid w:val="00636995"/>
    <w:rsid w:val="00680666"/>
    <w:rsid w:val="006B1BEE"/>
    <w:rsid w:val="006D1D36"/>
    <w:rsid w:val="00706E64"/>
    <w:rsid w:val="0071448D"/>
    <w:rsid w:val="0073446D"/>
    <w:rsid w:val="007762EC"/>
    <w:rsid w:val="00776D44"/>
    <w:rsid w:val="00782E1F"/>
    <w:rsid w:val="007D6C58"/>
    <w:rsid w:val="007F211E"/>
    <w:rsid w:val="007F642F"/>
    <w:rsid w:val="00814A74"/>
    <w:rsid w:val="008170B0"/>
    <w:rsid w:val="00870766"/>
    <w:rsid w:val="0090787B"/>
    <w:rsid w:val="00917E80"/>
    <w:rsid w:val="0098036C"/>
    <w:rsid w:val="009E6857"/>
    <w:rsid w:val="009E7A0C"/>
    <w:rsid w:val="009F612E"/>
    <w:rsid w:val="00A107ED"/>
    <w:rsid w:val="00A577D5"/>
    <w:rsid w:val="00AA6DDA"/>
    <w:rsid w:val="00AD2957"/>
    <w:rsid w:val="00B1162A"/>
    <w:rsid w:val="00B34CD5"/>
    <w:rsid w:val="00B54E86"/>
    <w:rsid w:val="00B774DC"/>
    <w:rsid w:val="00B840BB"/>
    <w:rsid w:val="00B92C2E"/>
    <w:rsid w:val="00BA7D37"/>
    <w:rsid w:val="00C13891"/>
    <w:rsid w:val="00C26E55"/>
    <w:rsid w:val="00C45099"/>
    <w:rsid w:val="00C72A10"/>
    <w:rsid w:val="00C87674"/>
    <w:rsid w:val="00C90701"/>
    <w:rsid w:val="00C90D56"/>
    <w:rsid w:val="00D041EF"/>
    <w:rsid w:val="00D35DC7"/>
    <w:rsid w:val="00D75847"/>
    <w:rsid w:val="00D77A6E"/>
    <w:rsid w:val="00DC0404"/>
    <w:rsid w:val="00E17D99"/>
    <w:rsid w:val="00E56357"/>
    <w:rsid w:val="00E650C9"/>
    <w:rsid w:val="00EA42FB"/>
    <w:rsid w:val="00EA6ED8"/>
    <w:rsid w:val="00EC23F5"/>
    <w:rsid w:val="00EC6AB2"/>
    <w:rsid w:val="00F04CB3"/>
    <w:rsid w:val="00F21DA5"/>
    <w:rsid w:val="00F254AD"/>
    <w:rsid w:val="00F371E5"/>
    <w:rsid w:val="00F40154"/>
    <w:rsid w:val="00F427D8"/>
    <w:rsid w:val="00F71724"/>
    <w:rsid w:val="00F71FAD"/>
    <w:rsid w:val="00F8418B"/>
    <w:rsid w:val="00F87109"/>
    <w:rsid w:val="00FE6361"/>
    <w:rsid w:val="00FF37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BEE"/>
    <w:pPr>
      <w:ind w:left="720"/>
      <w:contextualSpacing/>
    </w:pPr>
  </w:style>
  <w:style w:type="table" w:styleId="TableGrid">
    <w:name w:val="Table Grid"/>
    <w:basedOn w:val="TableNormal"/>
    <w:uiPriority w:val="59"/>
    <w:rsid w:val="00355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1BEE"/>
    <w:pPr>
      <w:ind w:left="720"/>
      <w:contextualSpacing/>
    </w:pPr>
  </w:style>
  <w:style w:type="table" w:styleId="TableGrid">
    <w:name w:val="Table Grid"/>
    <w:basedOn w:val="TableNormal"/>
    <w:uiPriority w:val="59"/>
    <w:rsid w:val="00355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EC9C2-DF22-4E52-8A8D-8D7F9D05E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311</Words>
  <Characters>1773</Characters>
  <Application>Microsoft Office Word</Application>
  <DocSecurity>0</DocSecurity>
  <Lines>14</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CITRON-SSD</dc:creator>
  <cp:lastModifiedBy>Hayriye İnatcı</cp:lastModifiedBy>
  <cp:revision>4</cp:revision>
  <cp:lastPrinted>2023-11-27T14:15:00Z</cp:lastPrinted>
  <dcterms:created xsi:type="dcterms:W3CDTF">2023-11-27T14:24:00Z</dcterms:created>
  <dcterms:modified xsi:type="dcterms:W3CDTF">2023-12-05T12:15:00Z</dcterms:modified>
</cp:coreProperties>
</file>