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41" w:rightFromText="141" w:vertAnchor="page" w:horzAnchor="margin" w:tblpY="1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7F54F0" w:rsidRPr="007F54F0" w:rsidTr="004478E9">
        <w:tc>
          <w:tcPr>
            <w:tcW w:w="9288" w:type="dxa"/>
          </w:tcPr>
          <w:p w:rsidR="007F54F0" w:rsidRPr="007F54F0" w:rsidRDefault="007F54F0" w:rsidP="007F54F0">
            <w:pPr>
              <w:widowControl w:val="0"/>
              <w:jc w:val="center"/>
              <w:rPr>
                <w:rFonts w:eastAsia="Calibri" w:cs="Arial Unicode MS"/>
                <w:color w:val="auto"/>
                <w:sz w:val="24"/>
                <w:szCs w:val="24"/>
                <w:lang w:bidi="tr-TR"/>
              </w:rPr>
            </w:pPr>
          </w:p>
          <w:p w:rsidR="007F54F0" w:rsidRPr="007F54F0" w:rsidRDefault="007F54F0" w:rsidP="007F54F0">
            <w:pPr>
              <w:widowControl w:val="0"/>
              <w:jc w:val="both"/>
              <w:rPr>
                <w:rFonts w:eastAsia="Calibri" w:cs="Arial Unicode MS"/>
                <w:color w:val="auto"/>
                <w:sz w:val="24"/>
                <w:szCs w:val="24"/>
                <w:lang w:bidi="tr-TR"/>
              </w:rPr>
            </w:pPr>
            <w:r w:rsidRPr="007F54F0"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 xml:space="preserve">Kuzey Kıbrıs Türk Cumhuriyeti Cumhuriyet Meclisi’nin </w:t>
            </w:r>
            <w:r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>1 Haziran 2020</w:t>
            </w:r>
            <w:r w:rsidRPr="007F54F0"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 xml:space="preserve"> tarihli </w:t>
            </w:r>
            <w:proofErr w:type="spellStart"/>
            <w:r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>Elliüçü</w:t>
            </w:r>
            <w:r w:rsidRPr="007F54F0"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>ncü</w:t>
            </w:r>
            <w:proofErr w:type="spellEnd"/>
            <w:r w:rsidRPr="007F54F0"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 xml:space="preserve"> Birleşiminde Oybirliğiyle kabul olunan </w:t>
            </w:r>
            <w:r w:rsidRPr="00221DAC"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>“</w:t>
            </w:r>
            <w:r w:rsidRPr="00221DAC">
              <w:rPr>
                <w:b/>
                <w:bCs/>
                <w:sz w:val="24"/>
                <w:szCs w:val="24"/>
              </w:rPr>
              <w:t>Atatürk Öğretmen Akademisi Kuruluş</w:t>
            </w:r>
            <w:r w:rsidRPr="003C3A6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7F54F0"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 xml:space="preserve">Değişiklik) Yasası” Anayasanın 94’üncü maddesinin (1)’inci fıkrası gereğince Kuzey Kıbrıs Türk Cumhuriyeti Cumhurbaşkanı tarafından Resmi </w:t>
            </w:r>
            <w:proofErr w:type="spellStart"/>
            <w:r w:rsidRPr="007F54F0"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>Gazete’de</w:t>
            </w:r>
            <w:proofErr w:type="spellEnd"/>
            <w:r w:rsidRPr="007F54F0">
              <w:rPr>
                <w:rFonts w:eastAsia="Calibri" w:cs="Arial Unicode MS"/>
                <w:b/>
                <w:bCs/>
                <w:color w:val="auto"/>
                <w:sz w:val="24"/>
                <w:szCs w:val="24"/>
                <w:lang w:bidi="tr-TR"/>
              </w:rPr>
              <w:t xml:space="preserve"> yayımlanmak suretiyle ilan olunur.</w:t>
            </w:r>
          </w:p>
          <w:p w:rsidR="007F54F0" w:rsidRPr="007F54F0" w:rsidRDefault="007F54F0" w:rsidP="007F54F0">
            <w:pPr>
              <w:widowControl w:val="0"/>
              <w:jc w:val="both"/>
              <w:rPr>
                <w:rFonts w:eastAsia="Calibri" w:cs="Arial Unicode MS"/>
                <w:color w:val="auto"/>
                <w:sz w:val="24"/>
                <w:szCs w:val="24"/>
                <w:lang w:bidi="tr-TR"/>
              </w:rPr>
            </w:pPr>
          </w:p>
          <w:p w:rsidR="007F54F0" w:rsidRPr="007F54F0" w:rsidRDefault="007F54F0" w:rsidP="007F54F0">
            <w:pPr>
              <w:widowControl w:val="0"/>
              <w:jc w:val="center"/>
              <w:rPr>
                <w:rFonts w:eastAsia="Calibri" w:cs="Arial Unicode MS"/>
                <w:color w:val="auto"/>
                <w:sz w:val="24"/>
                <w:szCs w:val="24"/>
                <w:lang w:bidi="tr-TR"/>
              </w:rPr>
            </w:pPr>
          </w:p>
          <w:p w:rsidR="007F54F0" w:rsidRPr="007F54F0" w:rsidRDefault="007F54F0" w:rsidP="007F54F0">
            <w:pPr>
              <w:widowControl w:val="0"/>
              <w:jc w:val="center"/>
              <w:rPr>
                <w:rFonts w:eastAsia="Calibri" w:cs="Arial Unicode MS"/>
                <w:color w:val="auto"/>
                <w:sz w:val="24"/>
                <w:szCs w:val="24"/>
                <w:lang w:bidi="tr-TR"/>
              </w:rPr>
            </w:pPr>
          </w:p>
          <w:p w:rsidR="007F54F0" w:rsidRPr="007F54F0" w:rsidRDefault="0025128B" w:rsidP="007F54F0">
            <w:pPr>
              <w:widowControl w:val="0"/>
              <w:jc w:val="center"/>
              <w:rPr>
                <w:rFonts w:eastAsia="Calibri" w:cs="Arial Unicode MS"/>
                <w:b/>
                <w:color w:val="auto"/>
                <w:sz w:val="24"/>
                <w:szCs w:val="24"/>
                <w:lang w:bidi="tr-TR"/>
              </w:rPr>
            </w:pPr>
            <w:r>
              <w:rPr>
                <w:rFonts w:eastAsia="Calibri" w:cs="Arial Unicode MS"/>
                <w:b/>
                <w:color w:val="auto"/>
                <w:sz w:val="24"/>
                <w:szCs w:val="24"/>
                <w:lang w:bidi="tr-TR"/>
              </w:rPr>
              <w:t>Sayı:</w:t>
            </w:r>
            <w:r w:rsidR="00BA5BC4">
              <w:rPr>
                <w:rFonts w:eastAsia="Calibri" w:cs="Arial Unicode MS"/>
                <w:b/>
                <w:color w:val="auto"/>
                <w:sz w:val="24"/>
                <w:szCs w:val="24"/>
                <w:lang w:bidi="tr-TR"/>
              </w:rPr>
              <w:t xml:space="preserve"> </w:t>
            </w:r>
            <w:bookmarkStart w:id="0" w:name="_GoBack"/>
            <w:bookmarkEnd w:id="0"/>
            <w:r w:rsidR="007F54F0">
              <w:rPr>
                <w:rFonts w:eastAsia="Calibri" w:cs="Arial Unicode MS"/>
                <w:b/>
                <w:color w:val="auto"/>
                <w:sz w:val="24"/>
                <w:szCs w:val="24"/>
                <w:lang w:bidi="tr-TR"/>
              </w:rPr>
              <w:t>21/2020</w:t>
            </w:r>
          </w:p>
          <w:p w:rsidR="007F54F0" w:rsidRPr="007F54F0" w:rsidRDefault="007F54F0" w:rsidP="007F54F0">
            <w:pPr>
              <w:widowControl w:val="0"/>
              <w:jc w:val="center"/>
              <w:rPr>
                <w:rFonts w:eastAsia="Calibri" w:cs="Arial Unicode MS"/>
                <w:color w:val="auto"/>
                <w:sz w:val="24"/>
                <w:szCs w:val="24"/>
                <w:lang w:bidi="tr-TR"/>
              </w:rPr>
            </w:pPr>
          </w:p>
          <w:p w:rsidR="007F54F0" w:rsidRPr="007F54F0" w:rsidRDefault="007F54F0" w:rsidP="007F54F0">
            <w:pPr>
              <w:widowControl w:val="0"/>
              <w:jc w:val="center"/>
              <w:rPr>
                <w:rFonts w:eastAsia="Calibri" w:cs="Arial Unicode MS"/>
                <w:color w:val="auto"/>
                <w:sz w:val="24"/>
                <w:szCs w:val="24"/>
                <w:lang w:bidi="tr-TR"/>
              </w:rPr>
            </w:pPr>
          </w:p>
        </w:tc>
      </w:tr>
    </w:tbl>
    <w:p w:rsidR="00145040" w:rsidRDefault="00145040" w:rsidP="0000213E">
      <w:pPr>
        <w:rPr>
          <w:sz w:val="24"/>
          <w:szCs w:val="24"/>
        </w:rPr>
      </w:pPr>
    </w:p>
    <w:p w:rsidR="007F54F0" w:rsidRDefault="007F54F0" w:rsidP="0000213E">
      <w:pPr>
        <w:rPr>
          <w:sz w:val="24"/>
          <w:szCs w:val="24"/>
        </w:rPr>
      </w:pPr>
    </w:p>
    <w:p w:rsidR="007F54F0" w:rsidRPr="0000213E" w:rsidRDefault="007F54F0" w:rsidP="0000213E">
      <w:pPr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4"/>
        <w:gridCol w:w="553"/>
        <w:gridCol w:w="567"/>
        <w:gridCol w:w="708"/>
        <w:gridCol w:w="5954"/>
      </w:tblGrid>
      <w:tr w:rsidR="00145040" w:rsidRPr="0000213E" w:rsidTr="00DF477C">
        <w:tc>
          <w:tcPr>
            <w:tcW w:w="9464" w:type="dxa"/>
            <w:gridSpan w:val="6"/>
          </w:tcPr>
          <w:p w:rsidR="0000213E" w:rsidRDefault="00145040" w:rsidP="0000213E">
            <w:pPr>
              <w:jc w:val="center"/>
              <w:rPr>
                <w:sz w:val="24"/>
                <w:szCs w:val="24"/>
              </w:rPr>
            </w:pPr>
            <w:r w:rsidRPr="0000213E">
              <w:rPr>
                <w:bCs/>
                <w:sz w:val="24"/>
                <w:szCs w:val="24"/>
              </w:rPr>
              <w:t>ATATÜRK ÖĞRETMEN AKADEMİSİ KURULUŞ</w:t>
            </w:r>
            <w:r w:rsidRPr="0000213E">
              <w:rPr>
                <w:b/>
                <w:bCs/>
                <w:sz w:val="24"/>
                <w:szCs w:val="24"/>
              </w:rPr>
              <w:t xml:space="preserve"> </w:t>
            </w:r>
            <w:r w:rsidRPr="0000213E">
              <w:rPr>
                <w:sz w:val="24"/>
                <w:szCs w:val="24"/>
              </w:rPr>
              <w:t xml:space="preserve">(DEĞİŞİKLİK) </w:t>
            </w:r>
          </w:p>
          <w:p w:rsidR="00145040" w:rsidRPr="0000213E" w:rsidRDefault="00145040" w:rsidP="0000213E">
            <w:pPr>
              <w:jc w:val="center"/>
              <w:rPr>
                <w:sz w:val="24"/>
                <w:szCs w:val="24"/>
              </w:rPr>
            </w:pPr>
            <w:r w:rsidRPr="0000213E">
              <w:rPr>
                <w:sz w:val="24"/>
                <w:szCs w:val="24"/>
              </w:rPr>
              <w:t>YASA</w:t>
            </w:r>
            <w:r w:rsidR="00793AD5">
              <w:rPr>
                <w:sz w:val="24"/>
                <w:szCs w:val="24"/>
              </w:rPr>
              <w:t>SI</w:t>
            </w:r>
          </w:p>
          <w:p w:rsidR="00145040" w:rsidRPr="0000213E" w:rsidRDefault="00145040" w:rsidP="0000213E">
            <w:pPr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tr-TR"/>
              </w:rPr>
            </w:pPr>
          </w:p>
        </w:tc>
      </w:tr>
      <w:tr w:rsidR="0000213E" w:rsidRPr="0000213E" w:rsidTr="00DF477C">
        <w:tc>
          <w:tcPr>
            <w:tcW w:w="1668" w:type="dxa"/>
          </w:tcPr>
          <w:p w:rsidR="0000213E" w:rsidRPr="0000213E" w:rsidRDefault="0000213E" w:rsidP="000021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00213E" w:rsidRPr="0000213E" w:rsidRDefault="0000213E" w:rsidP="0000213E">
            <w:pPr>
              <w:jc w:val="both"/>
              <w:rPr>
                <w:bCs/>
                <w:sz w:val="24"/>
                <w:szCs w:val="24"/>
              </w:rPr>
            </w:pPr>
            <w:r w:rsidRPr="0000213E">
              <w:rPr>
                <w:bCs/>
                <w:sz w:val="24"/>
                <w:szCs w:val="24"/>
              </w:rPr>
              <w:t xml:space="preserve">           Kuzey Kıbrıs Türk Cumhuriyeti Cumhuriyet Meclisi aşağıdaki Yasayı yapar:</w:t>
            </w:r>
          </w:p>
        </w:tc>
      </w:tr>
      <w:tr w:rsidR="003C3A69" w:rsidRPr="0000213E" w:rsidTr="00DF477C">
        <w:tc>
          <w:tcPr>
            <w:tcW w:w="1668" w:type="dxa"/>
          </w:tcPr>
          <w:p w:rsidR="003C3A69" w:rsidRPr="0000213E" w:rsidRDefault="003C3A69" w:rsidP="000021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3C3A69" w:rsidRPr="0000213E" w:rsidRDefault="003C3A69" w:rsidP="0000213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45040" w:rsidRPr="0000213E" w:rsidTr="00DF477C">
        <w:tc>
          <w:tcPr>
            <w:tcW w:w="9464" w:type="dxa"/>
            <w:gridSpan w:val="6"/>
            <w:hideMark/>
          </w:tcPr>
          <w:p w:rsidR="00145040" w:rsidRPr="0000213E" w:rsidRDefault="00145040" w:rsidP="0000213E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</w:tr>
      <w:tr w:rsidR="003C3A69" w:rsidRPr="0000213E" w:rsidTr="00DF477C">
        <w:tc>
          <w:tcPr>
            <w:tcW w:w="1682" w:type="dxa"/>
            <w:gridSpan w:val="2"/>
            <w:hideMark/>
          </w:tcPr>
          <w:p w:rsidR="003C3A69" w:rsidRPr="0000213E" w:rsidRDefault="003C3A69" w:rsidP="0000213E">
            <w:pPr>
              <w:jc w:val="both"/>
              <w:rPr>
                <w:sz w:val="24"/>
                <w:szCs w:val="24"/>
              </w:rPr>
            </w:pPr>
            <w:r w:rsidRPr="0000213E">
              <w:rPr>
                <w:sz w:val="24"/>
                <w:szCs w:val="24"/>
              </w:rPr>
              <w:t>Kısa İsim</w:t>
            </w:r>
          </w:p>
          <w:p w:rsidR="003C3A69" w:rsidRPr="0000213E" w:rsidRDefault="003C3A69" w:rsidP="0000213E">
            <w:pPr>
              <w:jc w:val="both"/>
              <w:rPr>
                <w:noProof/>
                <w:sz w:val="24"/>
                <w:szCs w:val="24"/>
              </w:rPr>
            </w:pPr>
            <w:r w:rsidRPr="0000213E">
              <w:rPr>
                <w:noProof/>
                <w:sz w:val="24"/>
                <w:szCs w:val="24"/>
              </w:rPr>
              <w:t>60/2000</w:t>
            </w:r>
          </w:p>
          <w:p w:rsidR="003C3A69" w:rsidRDefault="003C3A69" w:rsidP="0000213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00213E">
              <w:rPr>
                <w:noProof/>
                <w:sz w:val="24"/>
                <w:szCs w:val="24"/>
              </w:rPr>
              <w:t xml:space="preserve">26/2003 </w:t>
            </w:r>
            <w:r>
              <w:rPr>
                <w:noProof/>
                <w:sz w:val="24"/>
                <w:szCs w:val="24"/>
              </w:rPr>
              <w:t xml:space="preserve">   </w:t>
            </w:r>
          </w:p>
          <w:p w:rsidR="003C3A69" w:rsidRDefault="003C3A69" w:rsidP="0000213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00213E">
              <w:rPr>
                <w:noProof/>
                <w:sz w:val="24"/>
                <w:szCs w:val="24"/>
              </w:rPr>
              <w:t xml:space="preserve">25/2006 </w:t>
            </w:r>
          </w:p>
          <w:p w:rsidR="003C3A69" w:rsidRDefault="003C3A69" w:rsidP="0000213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00213E">
              <w:rPr>
                <w:noProof/>
                <w:sz w:val="24"/>
                <w:szCs w:val="24"/>
              </w:rPr>
              <w:t xml:space="preserve">76/2007 </w:t>
            </w:r>
          </w:p>
          <w:p w:rsidR="003C3A69" w:rsidRDefault="003C3A69" w:rsidP="0000213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00213E">
              <w:rPr>
                <w:noProof/>
                <w:sz w:val="24"/>
                <w:szCs w:val="24"/>
              </w:rPr>
              <w:t xml:space="preserve">81/2009 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3C3A69" w:rsidRDefault="003C3A69" w:rsidP="0000213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00213E">
              <w:rPr>
                <w:noProof/>
                <w:sz w:val="24"/>
                <w:szCs w:val="24"/>
              </w:rPr>
              <w:t xml:space="preserve">32/2013         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3C3A69" w:rsidRDefault="003C3A69" w:rsidP="0000213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</w:t>
            </w:r>
            <w:r w:rsidRPr="0000213E">
              <w:rPr>
                <w:noProof/>
                <w:sz w:val="24"/>
                <w:szCs w:val="24"/>
              </w:rPr>
              <w:t xml:space="preserve">5/2015 </w:t>
            </w:r>
            <w:r>
              <w:rPr>
                <w:noProof/>
                <w:sz w:val="24"/>
                <w:szCs w:val="24"/>
              </w:rPr>
              <w:t xml:space="preserve">  </w:t>
            </w:r>
          </w:p>
          <w:p w:rsidR="003C3A69" w:rsidRPr="0000213E" w:rsidRDefault="003C3A69" w:rsidP="003C3A6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00213E">
              <w:rPr>
                <w:noProof/>
                <w:sz w:val="24"/>
                <w:szCs w:val="24"/>
              </w:rPr>
              <w:t xml:space="preserve">44/2015 </w:t>
            </w:r>
            <w:r w:rsidRPr="0000213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82" w:type="dxa"/>
            <w:gridSpan w:val="4"/>
          </w:tcPr>
          <w:p w:rsidR="003C3A69" w:rsidRPr="003C3A69" w:rsidRDefault="003C3A69" w:rsidP="003C3A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3C3A69">
              <w:rPr>
                <w:bCs/>
                <w:sz w:val="24"/>
                <w:szCs w:val="24"/>
              </w:rPr>
              <w:t>Bu Yasa, Atatürk Öğretmen Akademisi Kuruluş</w:t>
            </w:r>
            <w:r w:rsidRPr="003C3A69">
              <w:rPr>
                <w:b/>
                <w:bCs/>
                <w:sz w:val="24"/>
                <w:szCs w:val="24"/>
              </w:rPr>
              <w:t xml:space="preserve"> </w:t>
            </w:r>
            <w:r w:rsidRPr="003C3A69">
              <w:rPr>
                <w:sz w:val="24"/>
                <w:szCs w:val="24"/>
              </w:rPr>
              <w:t xml:space="preserve">(Değişiklik) Yasası olarak isimlendirilir ve aşağıda “Esas Yasa” olarak anılan </w:t>
            </w:r>
            <w:r w:rsidRPr="003C3A69">
              <w:rPr>
                <w:bCs/>
                <w:sz w:val="24"/>
                <w:szCs w:val="24"/>
              </w:rPr>
              <w:t>Atatürk Öğretmen Akademisi Kuruluş Yasası</w:t>
            </w:r>
            <w:r w:rsidRPr="003C3A69">
              <w:rPr>
                <w:sz w:val="24"/>
                <w:szCs w:val="24"/>
              </w:rPr>
              <w:t xml:space="preserve"> ile birlikte okunur.</w:t>
            </w:r>
          </w:p>
          <w:p w:rsidR="003C3A69" w:rsidRPr="0000213E" w:rsidRDefault="003C3A69" w:rsidP="0000213E">
            <w:pPr>
              <w:jc w:val="both"/>
              <w:rPr>
                <w:sz w:val="24"/>
                <w:szCs w:val="24"/>
              </w:rPr>
            </w:pPr>
          </w:p>
          <w:p w:rsidR="003C3A69" w:rsidRPr="0000213E" w:rsidRDefault="003C3A69" w:rsidP="0000213E">
            <w:pPr>
              <w:jc w:val="both"/>
              <w:rPr>
                <w:sz w:val="24"/>
                <w:szCs w:val="24"/>
              </w:rPr>
            </w:pPr>
          </w:p>
          <w:p w:rsidR="003C3A69" w:rsidRPr="0000213E" w:rsidRDefault="003C3A69" w:rsidP="0000213E">
            <w:pPr>
              <w:jc w:val="both"/>
              <w:rPr>
                <w:sz w:val="24"/>
                <w:szCs w:val="24"/>
              </w:rPr>
            </w:pPr>
          </w:p>
          <w:p w:rsidR="003C3A69" w:rsidRPr="0000213E" w:rsidRDefault="003C3A69" w:rsidP="0000213E">
            <w:pPr>
              <w:jc w:val="both"/>
              <w:rPr>
                <w:sz w:val="24"/>
                <w:szCs w:val="24"/>
              </w:rPr>
            </w:pPr>
          </w:p>
          <w:p w:rsidR="003C3A69" w:rsidRPr="0000213E" w:rsidRDefault="003C3A69" w:rsidP="0000213E">
            <w:pPr>
              <w:jc w:val="both"/>
              <w:rPr>
                <w:sz w:val="24"/>
                <w:szCs w:val="24"/>
              </w:rPr>
            </w:pPr>
          </w:p>
          <w:p w:rsidR="003C3A69" w:rsidRPr="0000213E" w:rsidRDefault="003C3A69" w:rsidP="0000213E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00213E">
              <w:rPr>
                <w:sz w:val="24"/>
                <w:szCs w:val="24"/>
              </w:rPr>
              <w:t xml:space="preserve"> </w:t>
            </w:r>
          </w:p>
        </w:tc>
      </w:tr>
      <w:tr w:rsidR="003C3A69" w:rsidRPr="0000213E" w:rsidTr="00DF477C">
        <w:tc>
          <w:tcPr>
            <w:tcW w:w="1682" w:type="dxa"/>
            <w:gridSpan w:val="2"/>
          </w:tcPr>
          <w:p w:rsidR="003C3A69" w:rsidRPr="0000213E" w:rsidRDefault="003C3A69" w:rsidP="00002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2" w:type="dxa"/>
            <w:gridSpan w:val="4"/>
          </w:tcPr>
          <w:p w:rsidR="003C3A69" w:rsidRDefault="003C3A69" w:rsidP="003C3A6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C3A69" w:rsidRPr="0000213E" w:rsidTr="00DF477C">
        <w:tc>
          <w:tcPr>
            <w:tcW w:w="1682" w:type="dxa"/>
            <w:gridSpan w:val="2"/>
          </w:tcPr>
          <w:p w:rsidR="003C3A69" w:rsidRDefault="003C3A69" w:rsidP="003C3A69">
            <w:pPr>
              <w:rPr>
                <w:sz w:val="24"/>
                <w:szCs w:val="24"/>
              </w:rPr>
            </w:pPr>
            <w:r w:rsidRPr="003C3A69">
              <w:rPr>
                <w:sz w:val="24"/>
                <w:szCs w:val="24"/>
              </w:rPr>
              <w:t>Esas Yasanın 12’nci</w:t>
            </w:r>
          </w:p>
          <w:p w:rsidR="00DF477C" w:rsidRPr="0000213E" w:rsidRDefault="00DF477C" w:rsidP="003C3A69">
            <w:pPr>
              <w:rPr>
                <w:sz w:val="24"/>
                <w:szCs w:val="24"/>
              </w:rPr>
            </w:pPr>
            <w:r w:rsidRPr="00DF477C">
              <w:rPr>
                <w:sz w:val="24"/>
                <w:szCs w:val="24"/>
              </w:rPr>
              <w:t>Maddesinin</w:t>
            </w:r>
          </w:p>
        </w:tc>
        <w:tc>
          <w:tcPr>
            <w:tcW w:w="553" w:type="dxa"/>
          </w:tcPr>
          <w:p w:rsidR="003C3A69" w:rsidRDefault="003C3A69" w:rsidP="003C3A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3C3A69" w:rsidRDefault="003C3A69" w:rsidP="003C3A69">
            <w:pPr>
              <w:jc w:val="both"/>
              <w:rPr>
                <w:bCs/>
                <w:sz w:val="24"/>
                <w:szCs w:val="24"/>
              </w:rPr>
            </w:pPr>
            <w:r w:rsidRPr="003C3A69"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6662" w:type="dxa"/>
            <w:gridSpan w:val="2"/>
          </w:tcPr>
          <w:p w:rsidR="003C3A69" w:rsidRDefault="003C3A69" w:rsidP="003C3A69">
            <w:pPr>
              <w:jc w:val="both"/>
              <w:rPr>
                <w:bCs/>
                <w:sz w:val="24"/>
                <w:szCs w:val="24"/>
              </w:rPr>
            </w:pPr>
            <w:r w:rsidRPr="003C3A69">
              <w:rPr>
                <w:bCs/>
                <w:sz w:val="24"/>
                <w:szCs w:val="24"/>
              </w:rPr>
              <w:t xml:space="preserve">Esas Yasa, </w:t>
            </w:r>
            <w:proofErr w:type="gramStart"/>
            <w:r w:rsidRPr="003C3A69">
              <w:rPr>
                <w:bCs/>
                <w:sz w:val="24"/>
                <w:szCs w:val="24"/>
              </w:rPr>
              <w:t>12’nci  maddesinin</w:t>
            </w:r>
            <w:proofErr w:type="gramEnd"/>
            <w:r w:rsidRPr="003C3A69">
              <w:rPr>
                <w:bCs/>
                <w:sz w:val="24"/>
                <w:szCs w:val="24"/>
              </w:rPr>
              <w:t xml:space="preserve">  (2)’</w:t>
            </w:r>
            <w:proofErr w:type="spellStart"/>
            <w:r w:rsidRPr="003C3A69">
              <w:rPr>
                <w:bCs/>
                <w:sz w:val="24"/>
                <w:szCs w:val="24"/>
              </w:rPr>
              <w:t>nci</w:t>
            </w:r>
            <w:proofErr w:type="spellEnd"/>
            <w:r w:rsidRPr="003C3A69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3C3A69">
              <w:rPr>
                <w:bCs/>
                <w:sz w:val="24"/>
                <w:szCs w:val="24"/>
              </w:rPr>
              <w:t>fıkrasınının</w:t>
            </w:r>
            <w:proofErr w:type="spellEnd"/>
            <w:r w:rsidRPr="003C3A69">
              <w:rPr>
                <w:bCs/>
                <w:sz w:val="24"/>
                <w:szCs w:val="24"/>
              </w:rPr>
              <w:t xml:space="preserve"> (B) bendinden hemen sonra aşağıdaki yeni (C) bendi eklenmek suretiyle değiştirilir:</w:t>
            </w:r>
          </w:p>
        </w:tc>
      </w:tr>
      <w:tr w:rsidR="003C3A69" w:rsidRPr="0000213E" w:rsidTr="00DF477C">
        <w:tc>
          <w:tcPr>
            <w:tcW w:w="1682" w:type="dxa"/>
            <w:gridSpan w:val="2"/>
          </w:tcPr>
          <w:p w:rsidR="003C3A69" w:rsidRPr="003C3A69" w:rsidRDefault="00DF477C" w:rsidP="0000213E">
            <w:pPr>
              <w:jc w:val="both"/>
              <w:rPr>
                <w:sz w:val="24"/>
                <w:szCs w:val="24"/>
              </w:rPr>
            </w:pPr>
            <w:r w:rsidRPr="00DF477C">
              <w:rPr>
                <w:sz w:val="24"/>
                <w:szCs w:val="24"/>
              </w:rPr>
              <w:t>Değiştirilmesi</w:t>
            </w:r>
          </w:p>
        </w:tc>
        <w:tc>
          <w:tcPr>
            <w:tcW w:w="553" w:type="dxa"/>
          </w:tcPr>
          <w:p w:rsidR="003C3A69" w:rsidRDefault="003C3A69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C3A69" w:rsidRPr="003C3A69" w:rsidRDefault="003C3A69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3C3A69" w:rsidRPr="003C3A69" w:rsidRDefault="003C3A69" w:rsidP="003C3A6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04352" w:rsidRPr="0000213E" w:rsidTr="00DF477C">
        <w:tc>
          <w:tcPr>
            <w:tcW w:w="1682" w:type="dxa"/>
            <w:gridSpan w:val="2"/>
          </w:tcPr>
          <w:p w:rsidR="00D04352" w:rsidRPr="003C3A69" w:rsidRDefault="00D04352" w:rsidP="00002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D04352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04352" w:rsidRPr="003C3A69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04352" w:rsidRPr="003C3A69" w:rsidRDefault="00D04352" w:rsidP="003C3A69">
            <w:pPr>
              <w:jc w:val="both"/>
              <w:rPr>
                <w:bCs/>
                <w:sz w:val="24"/>
                <w:szCs w:val="24"/>
              </w:rPr>
            </w:pPr>
            <w:r w:rsidRPr="00D04352">
              <w:rPr>
                <w:bCs/>
                <w:sz w:val="24"/>
                <w:szCs w:val="24"/>
              </w:rPr>
              <w:t>“(C)</w:t>
            </w:r>
          </w:p>
        </w:tc>
        <w:tc>
          <w:tcPr>
            <w:tcW w:w="5954" w:type="dxa"/>
          </w:tcPr>
          <w:p w:rsidR="00D04352" w:rsidRPr="003C3A69" w:rsidRDefault="00D04352" w:rsidP="003C3A6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D04352">
              <w:rPr>
                <w:bCs/>
                <w:sz w:val="24"/>
                <w:szCs w:val="24"/>
              </w:rPr>
              <w:t>Uluslararası sınavlarda başarılı olmak.”</w:t>
            </w:r>
            <w:proofErr w:type="gramEnd"/>
          </w:p>
        </w:tc>
      </w:tr>
      <w:tr w:rsidR="00D04352" w:rsidRPr="0000213E" w:rsidTr="00DF477C">
        <w:tc>
          <w:tcPr>
            <w:tcW w:w="1682" w:type="dxa"/>
            <w:gridSpan w:val="2"/>
          </w:tcPr>
          <w:p w:rsidR="00D04352" w:rsidRPr="003C3A69" w:rsidRDefault="00D04352" w:rsidP="00002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D04352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04352" w:rsidRPr="003C3A69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04352" w:rsidRPr="00D04352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04352" w:rsidRPr="00D04352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31870" w:rsidRPr="0000213E" w:rsidTr="00DF477C">
        <w:tc>
          <w:tcPr>
            <w:tcW w:w="1682" w:type="dxa"/>
            <w:gridSpan w:val="2"/>
          </w:tcPr>
          <w:p w:rsidR="00931870" w:rsidRPr="003C3A69" w:rsidRDefault="00931870" w:rsidP="00002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931870" w:rsidRDefault="00931870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70" w:rsidRPr="003C3A69" w:rsidRDefault="00931870" w:rsidP="003C3A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6662" w:type="dxa"/>
            <w:gridSpan w:val="2"/>
          </w:tcPr>
          <w:p w:rsidR="00931870" w:rsidRPr="00D04352" w:rsidRDefault="00931870" w:rsidP="003C3A69">
            <w:pPr>
              <w:jc w:val="both"/>
              <w:rPr>
                <w:bCs/>
                <w:sz w:val="24"/>
                <w:szCs w:val="24"/>
              </w:rPr>
            </w:pPr>
            <w:r w:rsidRPr="00931870">
              <w:rPr>
                <w:bCs/>
                <w:sz w:val="24"/>
                <w:szCs w:val="24"/>
              </w:rPr>
              <w:t>Esas Yasa, 12’nci maddesinin (5)’inci fıkrası kaldır</w:t>
            </w:r>
            <w:r w:rsidR="00E3049B">
              <w:rPr>
                <w:bCs/>
                <w:sz w:val="24"/>
                <w:szCs w:val="24"/>
              </w:rPr>
              <w:t xml:space="preserve">ılmak </w:t>
            </w:r>
            <w:proofErr w:type="gramStart"/>
            <w:r w:rsidR="00E3049B">
              <w:rPr>
                <w:bCs/>
                <w:sz w:val="24"/>
                <w:szCs w:val="24"/>
              </w:rPr>
              <w:t>ve  yerine</w:t>
            </w:r>
            <w:proofErr w:type="gramEnd"/>
            <w:r w:rsidR="00E3049B">
              <w:rPr>
                <w:bCs/>
                <w:sz w:val="24"/>
                <w:szCs w:val="24"/>
              </w:rPr>
              <w:t xml:space="preserve"> aşağıdaki yeni (5)’inci fıkra konmak</w:t>
            </w:r>
            <w:r w:rsidRPr="00931870">
              <w:rPr>
                <w:bCs/>
                <w:sz w:val="24"/>
                <w:szCs w:val="24"/>
              </w:rPr>
              <w:t xml:space="preserve"> suretiyle değiştirilir</w:t>
            </w:r>
            <w:r>
              <w:rPr>
                <w:bCs/>
                <w:sz w:val="24"/>
                <w:szCs w:val="24"/>
              </w:rPr>
              <w:t>:</w:t>
            </w:r>
          </w:p>
        </w:tc>
      </w:tr>
      <w:tr w:rsidR="00D04352" w:rsidRPr="0000213E" w:rsidTr="00DF477C">
        <w:tc>
          <w:tcPr>
            <w:tcW w:w="1682" w:type="dxa"/>
            <w:gridSpan w:val="2"/>
          </w:tcPr>
          <w:p w:rsidR="00D04352" w:rsidRPr="003C3A69" w:rsidRDefault="00D04352" w:rsidP="00002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D04352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04352" w:rsidRPr="003C3A69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04352" w:rsidRPr="00D04352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04352" w:rsidRPr="00D04352" w:rsidRDefault="00D04352" w:rsidP="003C3A6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31870" w:rsidRPr="0000213E" w:rsidTr="00DF477C">
        <w:tc>
          <w:tcPr>
            <w:tcW w:w="1682" w:type="dxa"/>
            <w:gridSpan w:val="2"/>
          </w:tcPr>
          <w:p w:rsidR="00931870" w:rsidRPr="003C3A69" w:rsidRDefault="00931870" w:rsidP="00002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931870" w:rsidRDefault="00931870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70" w:rsidRPr="003C3A69" w:rsidRDefault="00931870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31870" w:rsidRPr="00D04352" w:rsidRDefault="00931870" w:rsidP="003C3A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“(5)</w:t>
            </w:r>
          </w:p>
        </w:tc>
        <w:tc>
          <w:tcPr>
            <w:tcW w:w="5954" w:type="dxa"/>
          </w:tcPr>
          <w:p w:rsidR="00931870" w:rsidRPr="00D04352" w:rsidRDefault="00931870" w:rsidP="00563751">
            <w:pPr>
              <w:jc w:val="both"/>
              <w:rPr>
                <w:bCs/>
                <w:sz w:val="24"/>
                <w:szCs w:val="24"/>
              </w:rPr>
            </w:pPr>
            <w:r w:rsidRPr="00931870">
              <w:rPr>
                <w:bCs/>
                <w:sz w:val="24"/>
                <w:szCs w:val="24"/>
              </w:rPr>
              <w:t xml:space="preserve">Sınav şekli, </w:t>
            </w:r>
            <w:r w:rsidR="00943C8D">
              <w:rPr>
                <w:bCs/>
                <w:sz w:val="24"/>
                <w:szCs w:val="24"/>
              </w:rPr>
              <w:t>alınacak öğrenci sayısına ilişkin düzenleme,</w:t>
            </w:r>
            <w:r w:rsidRPr="00931870">
              <w:rPr>
                <w:bCs/>
                <w:sz w:val="24"/>
                <w:szCs w:val="24"/>
              </w:rPr>
              <w:t xml:space="preserve"> mülakat, uluslararası sınavların türleri ve uluslararası sınavlarda başarılı olma kriterleri ile ilgili hususlar, Bakanlıkça hazırlan</w:t>
            </w:r>
            <w:r w:rsidR="00563751">
              <w:rPr>
                <w:bCs/>
                <w:sz w:val="24"/>
                <w:szCs w:val="24"/>
              </w:rPr>
              <w:t>ıp</w:t>
            </w:r>
            <w:r w:rsidR="00913CBA">
              <w:rPr>
                <w:bCs/>
                <w:sz w:val="24"/>
                <w:szCs w:val="24"/>
              </w:rPr>
              <w:t>,</w:t>
            </w:r>
            <w:r w:rsidRPr="00931870">
              <w:rPr>
                <w:bCs/>
                <w:sz w:val="24"/>
                <w:szCs w:val="24"/>
              </w:rPr>
              <w:t xml:space="preserve"> Bakanlar Kurulunca </w:t>
            </w:r>
            <w:proofErr w:type="gramStart"/>
            <w:r w:rsidRPr="00931870">
              <w:rPr>
                <w:bCs/>
                <w:sz w:val="24"/>
                <w:szCs w:val="24"/>
              </w:rPr>
              <w:t>onaylana</w:t>
            </w:r>
            <w:r w:rsidR="00563751">
              <w:rPr>
                <w:bCs/>
                <w:sz w:val="24"/>
                <w:szCs w:val="24"/>
              </w:rPr>
              <w:t>r</w:t>
            </w:r>
            <w:r w:rsidRPr="00931870">
              <w:rPr>
                <w:bCs/>
                <w:sz w:val="24"/>
                <w:szCs w:val="24"/>
              </w:rPr>
              <w:t xml:space="preserve">ak </w:t>
            </w:r>
            <w:r w:rsidR="00913CBA">
              <w:rPr>
                <w:bCs/>
                <w:sz w:val="24"/>
                <w:szCs w:val="24"/>
              </w:rPr>
              <w:t xml:space="preserve"> Resmi</w:t>
            </w:r>
            <w:proofErr w:type="gramEnd"/>
            <w:r w:rsidR="00913C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13CBA">
              <w:rPr>
                <w:bCs/>
                <w:sz w:val="24"/>
                <w:szCs w:val="24"/>
              </w:rPr>
              <w:t>Gazete’de</w:t>
            </w:r>
            <w:proofErr w:type="spellEnd"/>
            <w:r w:rsidR="00913CBA">
              <w:rPr>
                <w:bCs/>
                <w:sz w:val="24"/>
                <w:szCs w:val="24"/>
              </w:rPr>
              <w:t xml:space="preserve"> yayımlanacak </w:t>
            </w:r>
            <w:r w:rsidRPr="00931870">
              <w:rPr>
                <w:bCs/>
                <w:sz w:val="24"/>
                <w:szCs w:val="24"/>
              </w:rPr>
              <w:t>bir tüzükle belirlenir.”</w:t>
            </w:r>
          </w:p>
        </w:tc>
      </w:tr>
      <w:tr w:rsidR="00931870" w:rsidRPr="0000213E" w:rsidTr="00DF477C">
        <w:tc>
          <w:tcPr>
            <w:tcW w:w="1682" w:type="dxa"/>
            <w:gridSpan w:val="2"/>
          </w:tcPr>
          <w:p w:rsidR="00931870" w:rsidRPr="003C3A69" w:rsidRDefault="00931870" w:rsidP="00002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931870" w:rsidRDefault="00931870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70" w:rsidRPr="003C3A69" w:rsidRDefault="00931870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31870" w:rsidRDefault="00931870" w:rsidP="003C3A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31870" w:rsidRPr="00931870" w:rsidRDefault="00931870" w:rsidP="003C3A6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31870" w:rsidRPr="0000213E" w:rsidTr="00DF477C">
        <w:tc>
          <w:tcPr>
            <w:tcW w:w="1682" w:type="dxa"/>
            <w:gridSpan w:val="2"/>
          </w:tcPr>
          <w:p w:rsidR="00931870" w:rsidRPr="003C3A69" w:rsidRDefault="00931870" w:rsidP="0000213E">
            <w:pPr>
              <w:jc w:val="both"/>
              <w:rPr>
                <w:sz w:val="24"/>
                <w:szCs w:val="24"/>
              </w:rPr>
            </w:pPr>
            <w:r w:rsidRPr="00931870">
              <w:rPr>
                <w:sz w:val="24"/>
                <w:szCs w:val="24"/>
              </w:rPr>
              <w:t>Yürürlüğe Giriş</w:t>
            </w:r>
          </w:p>
        </w:tc>
        <w:tc>
          <w:tcPr>
            <w:tcW w:w="7782" w:type="dxa"/>
            <w:gridSpan w:val="4"/>
          </w:tcPr>
          <w:p w:rsidR="00931870" w:rsidRPr="00931870" w:rsidRDefault="00931870" w:rsidP="003C3A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931870">
              <w:rPr>
                <w:bCs/>
                <w:sz w:val="24"/>
                <w:szCs w:val="24"/>
              </w:rPr>
              <w:t xml:space="preserve">Bu Yasa, Resmi </w:t>
            </w:r>
            <w:proofErr w:type="spellStart"/>
            <w:r w:rsidRPr="00931870">
              <w:rPr>
                <w:bCs/>
                <w:sz w:val="24"/>
                <w:szCs w:val="24"/>
              </w:rPr>
              <w:t>Gazete’de</w:t>
            </w:r>
            <w:proofErr w:type="spellEnd"/>
            <w:r w:rsidRPr="00931870">
              <w:rPr>
                <w:bCs/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145040" w:rsidRPr="0000213E" w:rsidRDefault="00145040" w:rsidP="0000213E">
      <w:pPr>
        <w:rPr>
          <w:sz w:val="24"/>
          <w:szCs w:val="24"/>
        </w:rPr>
      </w:pPr>
    </w:p>
    <w:sectPr w:rsidR="00145040" w:rsidRPr="0000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0A"/>
    <w:multiLevelType w:val="hybridMultilevel"/>
    <w:tmpl w:val="8EFE2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E63"/>
    <w:multiLevelType w:val="hybridMultilevel"/>
    <w:tmpl w:val="4AB4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31A1"/>
    <w:multiLevelType w:val="hybridMultilevel"/>
    <w:tmpl w:val="0AE42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A9F"/>
    <w:multiLevelType w:val="hybridMultilevel"/>
    <w:tmpl w:val="0FFE0484"/>
    <w:lvl w:ilvl="0" w:tplc="06BEE1C6">
      <w:start w:val="1"/>
      <w:numFmt w:val="decimal"/>
      <w:lvlText w:val="(%1)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7E"/>
    <w:rsid w:val="0000213E"/>
    <w:rsid w:val="00145040"/>
    <w:rsid w:val="00221DAC"/>
    <w:rsid w:val="0025128B"/>
    <w:rsid w:val="002931CE"/>
    <w:rsid w:val="003C3A69"/>
    <w:rsid w:val="00563751"/>
    <w:rsid w:val="00793AD5"/>
    <w:rsid w:val="007F54F0"/>
    <w:rsid w:val="00905640"/>
    <w:rsid w:val="00913CBA"/>
    <w:rsid w:val="00931870"/>
    <w:rsid w:val="00943C8D"/>
    <w:rsid w:val="00951E7E"/>
    <w:rsid w:val="009F420D"/>
    <w:rsid w:val="00BA5BC4"/>
    <w:rsid w:val="00D04352"/>
    <w:rsid w:val="00DF477C"/>
    <w:rsid w:val="00E3049B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40"/>
    <w:pPr>
      <w:spacing w:after="0" w:line="240" w:lineRule="auto"/>
    </w:pPr>
    <w:rPr>
      <w:rFonts w:ascii="Times New Roman" w:hAnsi="Times New Rom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1450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5040"/>
    <w:rPr>
      <w:rFonts w:ascii="Times New Roman" w:hAnsi="Times New Roman" w:cs="Times New Roman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45040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7F54F0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40"/>
    <w:pPr>
      <w:spacing w:after="0" w:line="240" w:lineRule="auto"/>
    </w:pPr>
    <w:rPr>
      <w:rFonts w:ascii="Times New Roman" w:hAnsi="Times New Rom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1450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5040"/>
    <w:rPr>
      <w:rFonts w:ascii="Times New Roman" w:hAnsi="Times New Roman" w:cs="Times New Roman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45040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7F54F0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Sonuç Şaban</dc:creator>
  <cp:lastModifiedBy>guliz.avkan</cp:lastModifiedBy>
  <cp:revision>23</cp:revision>
  <cp:lastPrinted>2020-05-27T18:15:00Z</cp:lastPrinted>
  <dcterms:created xsi:type="dcterms:W3CDTF">2020-05-19T04:37:00Z</dcterms:created>
  <dcterms:modified xsi:type="dcterms:W3CDTF">2020-06-19T22:25:00Z</dcterms:modified>
</cp:coreProperties>
</file>