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0B17" w14:textId="77777777" w:rsidR="00305A7E" w:rsidRDefault="00305A7E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305A7E" w14:paraId="4CF822C4" w14:textId="77777777" w:rsidTr="00305A7E">
        <w:trPr>
          <w:trHeight w:val="204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E96B2" w14:textId="086B4252" w:rsidR="00305A7E" w:rsidRDefault="00305A7E" w:rsidP="00305A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Kuzey Kıbrıs Türk Cumhuriyeti Cumhuriyet Meclisi’nin 13 Mart 2017 tarihli </w:t>
            </w:r>
            <w:proofErr w:type="spellStart"/>
            <w:r>
              <w:rPr>
                <w:lang w:val="tr-TR"/>
              </w:rPr>
              <w:t>Kırksekizinci</w:t>
            </w:r>
            <w:proofErr w:type="spellEnd"/>
            <w:r>
              <w:rPr>
                <w:lang w:val="tr-TR"/>
              </w:rPr>
              <w:t xml:space="preserve"> Birleşiminde Oybirliğiyle kabul olunan “</w:t>
            </w:r>
            <w:r w:rsidRPr="00305A7E">
              <w:rPr>
                <w:lang w:val="tr-TR"/>
              </w:rPr>
              <w:t>Kamu Sağlık</w:t>
            </w:r>
            <w:r>
              <w:rPr>
                <w:lang w:val="tr-TR"/>
              </w:rPr>
              <w:t xml:space="preserve"> </w:t>
            </w:r>
            <w:r w:rsidRPr="00305A7E">
              <w:rPr>
                <w:lang w:val="tr-TR"/>
              </w:rPr>
              <w:t xml:space="preserve">Çalışanları </w:t>
            </w:r>
            <w:r>
              <w:rPr>
                <w:lang w:val="tr-TR"/>
              </w:rPr>
              <w:t xml:space="preserve">(Değişiklik) Yasası” Anayasanın 94’üncü maddesinin (1)’inci fıkrası gereğince Kuzey Kıbrıs Türk Cumhuriyeti Cumhurbaşkanı tarafından Resmi </w:t>
            </w:r>
            <w:proofErr w:type="spellStart"/>
            <w:r>
              <w:rPr>
                <w:lang w:val="tr-TR"/>
              </w:rPr>
              <w:t>Gazete’de</w:t>
            </w:r>
            <w:proofErr w:type="spellEnd"/>
            <w:r>
              <w:rPr>
                <w:lang w:val="tr-TR"/>
              </w:rPr>
              <w:t xml:space="preserve"> yayımlanmak suretiyle ilan olunur.</w:t>
            </w:r>
          </w:p>
        </w:tc>
      </w:tr>
    </w:tbl>
    <w:p w14:paraId="665A8A46" w14:textId="77777777" w:rsidR="00305A7E" w:rsidRDefault="00305A7E" w:rsidP="00305A7E"/>
    <w:p w14:paraId="3A778DCD" w14:textId="77777777" w:rsidR="00305A7E" w:rsidRDefault="00305A7E" w:rsidP="00305A7E">
      <w:r>
        <w:t xml:space="preserve">                                                                        </w:t>
      </w:r>
    </w:p>
    <w:p w14:paraId="1787BA4E" w14:textId="5E6EBE09" w:rsidR="00305A7E" w:rsidRDefault="00305A7E" w:rsidP="00305A7E">
      <w:pPr>
        <w:jc w:val="center"/>
      </w:pPr>
      <w:r>
        <w:t>Sayı:1</w:t>
      </w:r>
      <w:r w:rsidR="00B83FBF">
        <w:t>8</w:t>
      </w:r>
      <w:r>
        <w:t>/2017</w:t>
      </w:r>
    </w:p>
    <w:p w14:paraId="421C7C19" w14:textId="77777777" w:rsidR="00305A7E" w:rsidRDefault="00305A7E" w:rsidP="002F0D35">
      <w:pPr>
        <w:jc w:val="center"/>
      </w:pPr>
    </w:p>
    <w:p w14:paraId="3A4644F5" w14:textId="77777777" w:rsidR="00017B2E" w:rsidRPr="00DB1161" w:rsidRDefault="00017B2E" w:rsidP="002F0D35">
      <w:pPr>
        <w:jc w:val="center"/>
      </w:pPr>
      <w:r w:rsidRPr="00DB1161">
        <w:t>KAMU SAĞLIK ÇALIŞANLARI (DEĞİŞİKLİK) YASASI</w:t>
      </w:r>
    </w:p>
    <w:p w14:paraId="3A4644F6" w14:textId="77777777" w:rsidR="00017B2E" w:rsidRDefault="00017B2E" w:rsidP="002F0D35">
      <w:pPr>
        <w:jc w:val="center"/>
        <w:rPr>
          <w:b/>
        </w:rPr>
      </w:pPr>
    </w:p>
    <w:tbl>
      <w:tblPr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567"/>
        <w:gridCol w:w="709"/>
        <w:gridCol w:w="567"/>
        <w:gridCol w:w="5439"/>
      </w:tblGrid>
      <w:tr w:rsidR="00017B2E" w14:paraId="3A4644FA" w14:textId="77777777" w:rsidTr="0094700A">
        <w:trPr>
          <w:jc w:val="center"/>
        </w:trPr>
        <w:tc>
          <w:tcPr>
            <w:tcW w:w="1613" w:type="dxa"/>
          </w:tcPr>
          <w:p w14:paraId="3A4644F7" w14:textId="77777777" w:rsidR="00017B2E" w:rsidRDefault="00017B2E" w:rsidP="002F0D35">
            <w:pPr>
              <w:jc w:val="both"/>
              <w:rPr>
                <w:lang w:val="tr-TR"/>
              </w:rPr>
            </w:pPr>
          </w:p>
        </w:tc>
        <w:tc>
          <w:tcPr>
            <w:tcW w:w="7282" w:type="dxa"/>
            <w:gridSpan w:val="4"/>
          </w:tcPr>
          <w:p w14:paraId="3A4644F8" w14:textId="77777777" w:rsidR="00017B2E" w:rsidRDefault="00017B2E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Kuzey Kıbrıs Türk Cumhuriyeti Cumhuriyet Meclisi aşağıdaki Yasayı yapar:</w:t>
            </w:r>
          </w:p>
          <w:p w14:paraId="3A4644F9" w14:textId="77777777" w:rsidR="00017B2E" w:rsidRDefault="00017B2E" w:rsidP="002F0D35">
            <w:pPr>
              <w:jc w:val="both"/>
              <w:rPr>
                <w:lang w:val="tr-TR"/>
              </w:rPr>
            </w:pPr>
          </w:p>
        </w:tc>
      </w:tr>
      <w:tr w:rsidR="00017B2E" w14:paraId="3A464502" w14:textId="77777777" w:rsidTr="0094700A">
        <w:trPr>
          <w:jc w:val="center"/>
        </w:trPr>
        <w:tc>
          <w:tcPr>
            <w:tcW w:w="1613" w:type="dxa"/>
            <w:hideMark/>
          </w:tcPr>
          <w:p w14:paraId="3A4644FB" w14:textId="77777777" w:rsidR="00017B2E" w:rsidRDefault="00017B2E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Kısa İsim</w:t>
            </w:r>
          </w:p>
          <w:p w14:paraId="3A4644FC" w14:textId="77777777" w:rsidR="00017B2E" w:rsidRDefault="00017B2E" w:rsidP="002F0D35">
            <w:pPr>
              <w:shd w:val="clear" w:color="auto" w:fill="FFFFFF"/>
              <w:spacing w:line="235" w:lineRule="exact"/>
              <w:ind w:right="171"/>
              <w:rPr>
                <w:lang w:val="tr-TR"/>
              </w:rPr>
            </w:pPr>
            <w:r>
              <w:rPr>
                <w:lang w:val="tr-TR"/>
              </w:rPr>
              <w:t>6/2009</w:t>
            </w:r>
          </w:p>
          <w:p w14:paraId="3A4644FD" w14:textId="77777777" w:rsidR="00017B2E" w:rsidRDefault="004A5193" w:rsidP="002F0D35">
            <w:pPr>
              <w:shd w:val="clear" w:color="auto" w:fill="FFFFFF"/>
              <w:spacing w:line="235" w:lineRule="exact"/>
              <w:ind w:left="10"/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017B2E">
              <w:rPr>
                <w:lang w:val="tr-TR"/>
              </w:rPr>
              <w:t>75/2009</w:t>
            </w:r>
          </w:p>
          <w:p w14:paraId="3A4644FE" w14:textId="77777777" w:rsidR="00017B2E" w:rsidRDefault="004A5193" w:rsidP="002F0D35">
            <w:pPr>
              <w:shd w:val="clear" w:color="auto" w:fill="FFFFFF"/>
              <w:spacing w:line="235" w:lineRule="exact"/>
              <w:ind w:left="10"/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017B2E">
              <w:rPr>
                <w:lang w:val="tr-TR"/>
              </w:rPr>
              <w:t>37/2010</w:t>
            </w:r>
          </w:p>
          <w:p w14:paraId="3A4644FF" w14:textId="77777777" w:rsidR="00017B2E" w:rsidRDefault="004A5193" w:rsidP="002F0D35">
            <w:pPr>
              <w:shd w:val="clear" w:color="auto" w:fill="FFFFFF"/>
              <w:spacing w:line="235" w:lineRule="exact"/>
              <w:ind w:left="10"/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017B2E">
              <w:rPr>
                <w:lang w:val="tr-TR"/>
              </w:rPr>
              <w:t>49/2010</w:t>
            </w:r>
          </w:p>
        </w:tc>
        <w:tc>
          <w:tcPr>
            <w:tcW w:w="7282" w:type="dxa"/>
            <w:gridSpan w:val="4"/>
          </w:tcPr>
          <w:p w14:paraId="3A464500" w14:textId="77777777" w:rsidR="00017B2E" w:rsidRDefault="00017B2E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1. Bu Yasa, Kamu Sağlık Çalışanları (Değişiklik) Yasası olarak isimlendirilir ve aşağıda “Esas Yasa” olarak </w:t>
            </w:r>
            <w:r w:rsidR="002D6620">
              <w:rPr>
                <w:lang w:val="tr-TR"/>
              </w:rPr>
              <w:t xml:space="preserve">anılan Kamu Sağlık Çalışanları </w:t>
            </w:r>
            <w:r>
              <w:rPr>
                <w:lang w:val="tr-TR"/>
              </w:rPr>
              <w:t>Yasası ile birlikte okunur.</w:t>
            </w:r>
          </w:p>
          <w:p w14:paraId="3A464501" w14:textId="77777777" w:rsidR="00017B2E" w:rsidRDefault="00017B2E" w:rsidP="002F0D35">
            <w:pPr>
              <w:jc w:val="both"/>
              <w:rPr>
                <w:lang w:val="tr-TR"/>
              </w:rPr>
            </w:pPr>
          </w:p>
        </w:tc>
      </w:tr>
      <w:tr w:rsidR="00017B2E" w14:paraId="3A464505" w14:textId="77777777" w:rsidTr="0094700A">
        <w:trPr>
          <w:jc w:val="center"/>
        </w:trPr>
        <w:tc>
          <w:tcPr>
            <w:tcW w:w="1613" w:type="dxa"/>
          </w:tcPr>
          <w:p w14:paraId="3A464503" w14:textId="77777777" w:rsidR="00017B2E" w:rsidRDefault="00017B2E" w:rsidP="002F0D35">
            <w:pPr>
              <w:jc w:val="both"/>
              <w:rPr>
                <w:lang w:val="tr-TR"/>
              </w:rPr>
            </w:pPr>
          </w:p>
        </w:tc>
        <w:tc>
          <w:tcPr>
            <w:tcW w:w="7282" w:type="dxa"/>
            <w:gridSpan w:val="4"/>
          </w:tcPr>
          <w:p w14:paraId="3A464504" w14:textId="77777777" w:rsidR="00017B2E" w:rsidRDefault="00017B2E" w:rsidP="002F0D35">
            <w:pPr>
              <w:jc w:val="both"/>
              <w:rPr>
                <w:lang w:val="tr-TR"/>
              </w:rPr>
            </w:pPr>
          </w:p>
        </w:tc>
      </w:tr>
      <w:tr w:rsidR="00017B2E" w14:paraId="3A46450B" w14:textId="77777777" w:rsidTr="0094700A">
        <w:trPr>
          <w:jc w:val="center"/>
        </w:trPr>
        <w:tc>
          <w:tcPr>
            <w:tcW w:w="1613" w:type="dxa"/>
            <w:hideMark/>
          </w:tcPr>
          <w:p w14:paraId="3A464506" w14:textId="77777777" w:rsidR="00017B2E" w:rsidRDefault="00017B2E" w:rsidP="002F0D35">
            <w:pPr>
              <w:rPr>
                <w:lang w:val="tr-TR"/>
              </w:rPr>
            </w:pPr>
            <w:r>
              <w:rPr>
                <w:lang w:val="tr-TR"/>
              </w:rPr>
              <w:t xml:space="preserve">Esas Yasanın </w:t>
            </w:r>
          </w:p>
          <w:p w14:paraId="3A464507" w14:textId="77777777" w:rsidR="00017B2E" w:rsidRDefault="00017B2E" w:rsidP="002F0D35">
            <w:pPr>
              <w:rPr>
                <w:lang w:val="tr-TR"/>
              </w:rPr>
            </w:pPr>
            <w:r>
              <w:rPr>
                <w:lang w:val="tr-TR"/>
              </w:rPr>
              <w:t xml:space="preserve">102’nci </w:t>
            </w:r>
          </w:p>
          <w:p w14:paraId="3A464508" w14:textId="77777777" w:rsidR="00017B2E" w:rsidRDefault="00017B2E" w:rsidP="002F0D35">
            <w:pPr>
              <w:rPr>
                <w:lang w:val="tr-TR"/>
              </w:rPr>
            </w:pPr>
            <w:r>
              <w:rPr>
                <w:lang w:val="tr-TR"/>
              </w:rPr>
              <w:t>Maddesinin</w:t>
            </w:r>
          </w:p>
        </w:tc>
        <w:tc>
          <w:tcPr>
            <w:tcW w:w="7282" w:type="dxa"/>
            <w:gridSpan w:val="4"/>
          </w:tcPr>
          <w:p w14:paraId="3A464509" w14:textId="77777777" w:rsidR="00017B2E" w:rsidRDefault="00017B2E" w:rsidP="002F0D35">
            <w:pPr>
              <w:shd w:val="clear" w:color="auto" w:fill="FFFFFF"/>
              <w:jc w:val="both"/>
              <w:rPr>
                <w:lang w:val="tr-TR"/>
              </w:rPr>
            </w:pPr>
            <w:r>
              <w:rPr>
                <w:lang w:val="tr-TR"/>
              </w:rPr>
              <w:t>2. Esas Yasa, 102’nci maddesinin (1)’inci fıkrası kaldırılmak ve yerine aşağıdaki yeni (1)’inci fıkra konmak suretiyle değiştirilir:</w:t>
            </w:r>
          </w:p>
          <w:p w14:paraId="3A46450A" w14:textId="77777777" w:rsidR="00017B2E" w:rsidRDefault="00017B2E" w:rsidP="002F0D35">
            <w:pPr>
              <w:shd w:val="clear" w:color="auto" w:fill="FFFFFF"/>
              <w:jc w:val="both"/>
              <w:rPr>
                <w:lang w:val="tr-TR"/>
              </w:rPr>
            </w:pPr>
          </w:p>
        </w:tc>
      </w:tr>
      <w:tr w:rsidR="00D80551" w14:paraId="3A464512" w14:textId="77777777" w:rsidTr="0094700A">
        <w:trPr>
          <w:jc w:val="center"/>
        </w:trPr>
        <w:tc>
          <w:tcPr>
            <w:tcW w:w="1613" w:type="dxa"/>
            <w:hideMark/>
          </w:tcPr>
          <w:p w14:paraId="3A46450C" w14:textId="77777777" w:rsidR="00D80551" w:rsidRDefault="00D80551" w:rsidP="002F0D35">
            <w:pPr>
              <w:rPr>
                <w:lang w:val="tr-TR"/>
              </w:rPr>
            </w:pPr>
            <w:r>
              <w:rPr>
                <w:lang w:val="tr-TR"/>
              </w:rPr>
              <w:t>Değiştirilmesi</w:t>
            </w:r>
          </w:p>
        </w:tc>
        <w:tc>
          <w:tcPr>
            <w:tcW w:w="567" w:type="dxa"/>
          </w:tcPr>
          <w:p w14:paraId="3A46450D" w14:textId="77777777" w:rsidR="00D80551" w:rsidRDefault="00D80551" w:rsidP="002F0D35">
            <w:pPr>
              <w:shd w:val="clear" w:color="auto" w:fill="FFFFFF"/>
              <w:ind w:left="12"/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14:paraId="3A46450E" w14:textId="77777777" w:rsidR="00D80551" w:rsidRDefault="00D80551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“(1)</w:t>
            </w:r>
          </w:p>
        </w:tc>
        <w:tc>
          <w:tcPr>
            <w:tcW w:w="567" w:type="dxa"/>
          </w:tcPr>
          <w:p w14:paraId="3A46450F" w14:textId="77777777" w:rsidR="00D80551" w:rsidRDefault="00D80551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(A)</w:t>
            </w:r>
          </w:p>
        </w:tc>
        <w:tc>
          <w:tcPr>
            <w:tcW w:w="5439" w:type="dxa"/>
          </w:tcPr>
          <w:p w14:paraId="3A464510" w14:textId="77777777" w:rsidR="00D80551" w:rsidRDefault="00D80551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Kamu sağlık çalışanlarının haftalık çalışma süresi, yaz mesaisinde 35 (otuz beş)</w:t>
            </w:r>
            <w:r w:rsidR="007B3860">
              <w:rPr>
                <w:lang w:val="tr-TR"/>
              </w:rPr>
              <w:t>,</w:t>
            </w:r>
            <w:r>
              <w:rPr>
                <w:lang w:val="tr-TR"/>
              </w:rPr>
              <w:t xml:space="preserve"> kış mesaisinde 40 (kırk) saattir. Bu süreler, Cumartesi ve Pazar günleri hafta sonu tatil</w:t>
            </w:r>
            <w:r w:rsidR="00EA0607">
              <w:rPr>
                <w:lang w:val="tr-TR"/>
              </w:rPr>
              <w:t>i</w:t>
            </w:r>
            <w:r>
              <w:rPr>
                <w:lang w:val="tr-TR"/>
              </w:rPr>
              <w:t xml:space="preserve"> olmak üzere düzenlenir.</w:t>
            </w:r>
          </w:p>
          <w:p w14:paraId="3A464511" w14:textId="77777777" w:rsidR="00D80551" w:rsidRDefault="00D80551" w:rsidP="00DB116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Ancak vardiya veya rota usulüyle çalışan kamu sağlık çalışanları için Cumartesi ve Pazar günleri</w:t>
            </w:r>
            <w:r w:rsidR="00EA0607">
              <w:rPr>
                <w:lang w:val="tr-TR"/>
              </w:rPr>
              <w:t>,</w:t>
            </w:r>
            <w:r>
              <w:rPr>
                <w:lang w:val="tr-TR"/>
              </w:rPr>
              <w:t xml:space="preserve"> vardiya veya rota süresi içerisine düşmesi halinde tatil olarak düzenlenmez.</w:t>
            </w:r>
          </w:p>
        </w:tc>
      </w:tr>
      <w:tr w:rsidR="00D80551" w14:paraId="3A464518" w14:textId="77777777" w:rsidTr="0094700A">
        <w:trPr>
          <w:jc w:val="center"/>
        </w:trPr>
        <w:tc>
          <w:tcPr>
            <w:tcW w:w="1613" w:type="dxa"/>
            <w:hideMark/>
          </w:tcPr>
          <w:p w14:paraId="3A464513" w14:textId="77777777" w:rsidR="00D80551" w:rsidRDefault="00D80551" w:rsidP="002F0D35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A464514" w14:textId="77777777" w:rsidR="00D80551" w:rsidRDefault="00D80551" w:rsidP="002F0D35">
            <w:pPr>
              <w:shd w:val="clear" w:color="auto" w:fill="FFFFFF"/>
              <w:ind w:left="12"/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14:paraId="3A464515" w14:textId="77777777" w:rsidR="00D80551" w:rsidRDefault="00D80551" w:rsidP="002F0D35">
            <w:pPr>
              <w:jc w:val="both"/>
              <w:rPr>
                <w:lang w:val="tr-TR"/>
              </w:rPr>
            </w:pPr>
          </w:p>
        </w:tc>
        <w:tc>
          <w:tcPr>
            <w:tcW w:w="567" w:type="dxa"/>
          </w:tcPr>
          <w:p w14:paraId="3A464516" w14:textId="77777777" w:rsidR="00D80551" w:rsidRDefault="00D80551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(B)</w:t>
            </w:r>
          </w:p>
        </w:tc>
        <w:tc>
          <w:tcPr>
            <w:tcW w:w="5439" w:type="dxa"/>
          </w:tcPr>
          <w:p w14:paraId="3A464517" w14:textId="77777777" w:rsidR="00D80551" w:rsidRDefault="00D80551" w:rsidP="00EA060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Yaz m</w:t>
            </w:r>
            <w:r w:rsidR="009C6533">
              <w:rPr>
                <w:lang w:val="tr-TR"/>
              </w:rPr>
              <w:t xml:space="preserve">esaisi çalışma saatleri Mayıs </w:t>
            </w:r>
            <w:r w:rsidR="00E3303B">
              <w:rPr>
                <w:lang w:val="tr-TR"/>
              </w:rPr>
              <w:t>a</w:t>
            </w:r>
            <w:r>
              <w:rPr>
                <w:lang w:val="tr-TR"/>
              </w:rPr>
              <w:t xml:space="preserve">yının ikinci Pazartesi </w:t>
            </w:r>
            <w:r w:rsidR="00380665">
              <w:rPr>
                <w:lang w:val="tr-TR"/>
              </w:rPr>
              <w:t>g</w:t>
            </w:r>
            <w:r>
              <w:rPr>
                <w:lang w:val="tr-TR"/>
              </w:rPr>
              <w:t>ünü; kış mesaisi çalışma saatleri Eyl</w:t>
            </w:r>
            <w:r w:rsidR="009C6533">
              <w:rPr>
                <w:lang w:val="tr-TR"/>
              </w:rPr>
              <w:t xml:space="preserve">ül </w:t>
            </w:r>
            <w:r w:rsidR="00E3303B">
              <w:rPr>
                <w:lang w:val="tr-TR"/>
              </w:rPr>
              <w:t>a</w:t>
            </w:r>
            <w:r w:rsidR="009C6533">
              <w:rPr>
                <w:lang w:val="tr-TR"/>
              </w:rPr>
              <w:t>yının üçüncü Pazartesi günü</w:t>
            </w:r>
            <w:r>
              <w:rPr>
                <w:lang w:val="tr-TR"/>
              </w:rPr>
              <w:t xml:space="preserve"> başlar. </w:t>
            </w:r>
          </w:p>
        </w:tc>
      </w:tr>
      <w:tr w:rsidR="00D80551" w14:paraId="3A46451E" w14:textId="77777777" w:rsidTr="0094700A">
        <w:trPr>
          <w:jc w:val="center"/>
        </w:trPr>
        <w:tc>
          <w:tcPr>
            <w:tcW w:w="1613" w:type="dxa"/>
            <w:hideMark/>
          </w:tcPr>
          <w:p w14:paraId="3A464519" w14:textId="77777777" w:rsidR="00D80551" w:rsidRDefault="00D80551" w:rsidP="002F0D35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A46451A" w14:textId="77777777" w:rsidR="00D80551" w:rsidRDefault="00D80551" w:rsidP="002F0D35">
            <w:pPr>
              <w:shd w:val="clear" w:color="auto" w:fill="FFFFFF"/>
              <w:ind w:left="12"/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14:paraId="3A46451B" w14:textId="77777777" w:rsidR="00D80551" w:rsidRDefault="00D80551" w:rsidP="002F0D35">
            <w:pPr>
              <w:jc w:val="both"/>
              <w:rPr>
                <w:lang w:val="tr-TR"/>
              </w:rPr>
            </w:pPr>
          </w:p>
        </w:tc>
        <w:tc>
          <w:tcPr>
            <w:tcW w:w="567" w:type="dxa"/>
          </w:tcPr>
          <w:p w14:paraId="3A46451C" w14:textId="77777777" w:rsidR="00D80551" w:rsidRDefault="00D80551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(C) </w:t>
            </w:r>
          </w:p>
        </w:tc>
        <w:tc>
          <w:tcPr>
            <w:tcW w:w="5439" w:type="dxa"/>
          </w:tcPr>
          <w:p w14:paraId="3A46451D" w14:textId="77777777" w:rsidR="00D80551" w:rsidRDefault="00D80551" w:rsidP="00EA060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Kamu sağlık çalışanlarının çalışma saatleri yıl içerisindeki toplam çalışma saatlerine denk gelecek şekilde, Bakanlıkça hazırlanıp Bakanlar Kurulunca onaylanacak ve </w:t>
            </w:r>
            <w:r w:rsidR="009C6533">
              <w:rPr>
                <w:lang w:val="tr-TR"/>
              </w:rPr>
              <w:t xml:space="preserve">Resmi </w:t>
            </w:r>
            <w:proofErr w:type="spellStart"/>
            <w:r w:rsidR="009C6533">
              <w:rPr>
                <w:lang w:val="tr-TR"/>
              </w:rPr>
              <w:t>Gazete’de</w:t>
            </w:r>
            <w:proofErr w:type="spellEnd"/>
            <w:r w:rsidR="009C6533">
              <w:rPr>
                <w:lang w:val="tr-TR"/>
              </w:rPr>
              <w:t xml:space="preserve"> yayımlanacak</w:t>
            </w:r>
            <w:r w:rsidR="00380665">
              <w:rPr>
                <w:lang w:val="tr-TR"/>
              </w:rPr>
              <w:t xml:space="preserve"> bir</w:t>
            </w:r>
            <w:r w:rsidR="009C6533">
              <w:rPr>
                <w:lang w:val="tr-TR"/>
              </w:rPr>
              <w:t xml:space="preserve"> t</w:t>
            </w:r>
            <w:r>
              <w:rPr>
                <w:lang w:val="tr-TR"/>
              </w:rPr>
              <w:t>üzükle belirlenir.”</w:t>
            </w:r>
          </w:p>
        </w:tc>
      </w:tr>
      <w:tr w:rsidR="00D80551" w14:paraId="3A464524" w14:textId="77777777" w:rsidTr="0094700A">
        <w:trPr>
          <w:jc w:val="center"/>
        </w:trPr>
        <w:tc>
          <w:tcPr>
            <w:tcW w:w="1613" w:type="dxa"/>
            <w:hideMark/>
          </w:tcPr>
          <w:p w14:paraId="3A46451F" w14:textId="77777777" w:rsidR="00D80551" w:rsidRDefault="00D80551" w:rsidP="002F0D35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A464520" w14:textId="77777777" w:rsidR="00D80551" w:rsidRDefault="00D80551" w:rsidP="002F0D35">
            <w:pPr>
              <w:shd w:val="clear" w:color="auto" w:fill="FFFFFF"/>
              <w:ind w:left="12"/>
              <w:jc w:val="both"/>
              <w:rPr>
                <w:lang w:val="tr-TR"/>
              </w:rPr>
            </w:pPr>
          </w:p>
        </w:tc>
        <w:tc>
          <w:tcPr>
            <w:tcW w:w="709" w:type="dxa"/>
          </w:tcPr>
          <w:p w14:paraId="3A464521" w14:textId="77777777" w:rsidR="00D80551" w:rsidRDefault="00D80551" w:rsidP="002F0D35">
            <w:pPr>
              <w:jc w:val="both"/>
              <w:rPr>
                <w:lang w:val="tr-TR"/>
              </w:rPr>
            </w:pPr>
          </w:p>
        </w:tc>
        <w:tc>
          <w:tcPr>
            <w:tcW w:w="567" w:type="dxa"/>
          </w:tcPr>
          <w:p w14:paraId="3A464522" w14:textId="77777777" w:rsidR="00D80551" w:rsidRDefault="00D80551" w:rsidP="002F0D35">
            <w:pPr>
              <w:jc w:val="both"/>
              <w:rPr>
                <w:lang w:val="tr-TR"/>
              </w:rPr>
            </w:pPr>
          </w:p>
        </w:tc>
        <w:tc>
          <w:tcPr>
            <w:tcW w:w="5439" w:type="dxa"/>
          </w:tcPr>
          <w:p w14:paraId="3A464523" w14:textId="77777777" w:rsidR="00D80551" w:rsidRDefault="00D80551" w:rsidP="002F0D35">
            <w:pPr>
              <w:jc w:val="both"/>
              <w:rPr>
                <w:lang w:val="tr-TR"/>
              </w:rPr>
            </w:pPr>
          </w:p>
        </w:tc>
      </w:tr>
      <w:tr w:rsidR="00017B2E" w14:paraId="3A464527" w14:textId="77777777" w:rsidTr="0094700A">
        <w:trPr>
          <w:jc w:val="center"/>
        </w:trPr>
        <w:tc>
          <w:tcPr>
            <w:tcW w:w="1613" w:type="dxa"/>
            <w:hideMark/>
          </w:tcPr>
          <w:p w14:paraId="3A464525" w14:textId="77777777" w:rsidR="00017B2E" w:rsidRDefault="00017B2E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Yürürlüğe Giriş</w:t>
            </w:r>
          </w:p>
        </w:tc>
        <w:tc>
          <w:tcPr>
            <w:tcW w:w="7282" w:type="dxa"/>
            <w:gridSpan w:val="4"/>
            <w:hideMark/>
          </w:tcPr>
          <w:p w14:paraId="3A464526" w14:textId="77777777" w:rsidR="00017B2E" w:rsidRDefault="00017B2E" w:rsidP="002F0D35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3. Bu Yasa, Resmi Gazete’de yayımlandığı tarihten başlayarak yürürlüğe girer.</w:t>
            </w:r>
          </w:p>
        </w:tc>
      </w:tr>
    </w:tbl>
    <w:p w14:paraId="3A464528" w14:textId="77777777" w:rsidR="00017B2E" w:rsidRDefault="00017B2E" w:rsidP="00D80551"/>
    <w:p w14:paraId="3A464535" w14:textId="77777777" w:rsidR="00017B2E" w:rsidRDefault="00017B2E" w:rsidP="00D80551">
      <w:pPr>
        <w:spacing w:line="276" w:lineRule="auto"/>
        <w:ind w:firstLine="708"/>
        <w:jc w:val="both"/>
        <w:rPr>
          <w:b/>
        </w:rPr>
      </w:pPr>
      <w:bookmarkStart w:id="0" w:name="_GoBack"/>
      <w:bookmarkEnd w:id="0"/>
    </w:p>
    <w:p w14:paraId="3A464536" w14:textId="77777777" w:rsidR="000F7299" w:rsidRDefault="000F7299" w:rsidP="00D80551"/>
    <w:sectPr w:rsidR="000F7299" w:rsidSect="000F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E"/>
    <w:rsid w:val="00017B2E"/>
    <w:rsid w:val="000F7299"/>
    <w:rsid w:val="002D6620"/>
    <w:rsid w:val="002F0D35"/>
    <w:rsid w:val="00305A7E"/>
    <w:rsid w:val="00380665"/>
    <w:rsid w:val="004A5193"/>
    <w:rsid w:val="00651556"/>
    <w:rsid w:val="007B3860"/>
    <w:rsid w:val="0094700A"/>
    <w:rsid w:val="009C6533"/>
    <w:rsid w:val="00A1378F"/>
    <w:rsid w:val="00B35E4F"/>
    <w:rsid w:val="00B42E56"/>
    <w:rsid w:val="00B83FBF"/>
    <w:rsid w:val="00BD69BD"/>
    <w:rsid w:val="00D80551"/>
    <w:rsid w:val="00D93212"/>
    <w:rsid w:val="00DB1161"/>
    <w:rsid w:val="00DF1785"/>
    <w:rsid w:val="00E3303B"/>
    <w:rsid w:val="00EA0607"/>
    <w:rsid w:val="00F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sinem2.demirgil</cp:lastModifiedBy>
  <cp:revision>11</cp:revision>
  <dcterms:created xsi:type="dcterms:W3CDTF">2017-03-29T10:39:00Z</dcterms:created>
  <dcterms:modified xsi:type="dcterms:W3CDTF">2017-03-29T10:48:00Z</dcterms:modified>
</cp:coreProperties>
</file>