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5646A" w14:paraId="7A2B6147" w14:textId="77777777" w:rsidTr="0025646A">
        <w:trPr>
          <w:trHeight w:val="204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083BD372" w14:textId="500C743C" w:rsidR="0025646A" w:rsidRDefault="0025646A" w:rsidP="00CF62AD">
            <w:pPr>
              <w:jc w:val="both"/>
              <w:rPr>
                <w:lang w:val="tr-TR"/>
              </w:rPr>
            </w:pPr>
            <w:bookmarkStart w:id="0" w:name="_GoBack"/>
            <w:bookmarkEnd w:id="0"/>
            <w:r>
              <w:br w:type="page"/>
            </w:r>
            <w:r>
              <w:rPr>
                <w:lang w:val="tr-TR"/>
              </w:rPr>
              <w:t xml:space="preserve">Kuzey Kıbrıs Türk Cumhuriyeti Cumhuriyet Meclisi’nin 13 Mart 2017 tarihli </w:t>
            </w:r>
            <w:proofErr w:type="spellStart"/>
            <w:r>
              <w:rPr>
                <w:lang w:val="tr-TR"/>
              </w:rPr>
              <w:t>Kırksekizinci</w:t>
            </w:r>
            <w:proofErr w:type="spellEnd"/>
            <w:r>
              <w:rPr>
                <w:lang w:val="tr-TR"/>
              </w:rPr>
              <w:t xml:space="preserve"> Birleşiminde Oybirliğiyle kabul olunan “</w:t>
            </w:r>
            <w:r w:rsidR="00CF62AD" w:rsidRPr="00CF62AD">
              <w:rPr>
                <w:lang w:val="tr-TR"/>
              </w:rPr>
              <w:t>Sivil Savunma Teşkilatı Personel</w:t>
            </w:r>
            <w:r>
              <w:rPr>
                <w:lang w:val="tr-TR"/>
              </w:rPr>
              <w:t xml:space="preserve"> (Değişiklik) Yasası” Anayasanın 94’üncü maddesinin (1)’inci fıkrası gereğince Kuzey Kıbrıs Türk Cumhuriyeti Cumhurbaşkanı tarafından Resmi </w:t>
            </w:r>
            <w:proofErr w:type="spellStart"/>
            <w:r>
              <w:rPr>
                <w:lang w:val="tr-TR"/>
              </w:rPr>
              <w:t>Gazete’de</w:t>
            </w:r>
            <w:proofErr w:type="spellEnd"/>
            <w:r>
              <w:rPr>
                <w:lang w:val="tr-TR"/>
              </w:rPr>
              <w:t xml:space="preserve"> yayımlanmak suretiyle ilan olunur.</w:t>
            </w:r>
          </w:p>
        </w:tc>
      </w:tr>
    </w:tbl>
    <w:p w14:paraId="6D3FC8B7" w14:textId="77777777" w:rsidR="0025646A" w:rsidRDefault="0025646A" w:rsidP="0025646A"/>
    <w:p w14:paraId="43041249" w14:textId="77777777" w:rsidR="0025646A" w:rsidRDefault="0025646A" w:rsidP="0025646A">
      <w:r>
        <w:t xml:space="preserve">                                                                        </w:t>
      </w:r>
    </w:p>
    <w:p w14:paraId="0E3E5376" w14:textId="5158FCE9" w:rsidR="0025646A" w:rsidRDefault="0025646A" w:rsidP="0025646A">
      <w:pPr>
        <w:jc w:val="center"/>
      </w:pPr>
      <w:r>
        <w:t>Sayı</w:t>
      </w:r>
      <w:proofErr w:type="gramStart"/>
      <w:r>
        <w:t>:20</w:t>
      </w:r>
      <w:proofErr w:type="gramEnd"/>
      <w:r>
        <w:t>/2017</w:t>
      </w:r>
    </w:p>
    <w:p w14:paraId="385BAAF7" w14:textId="77777777" w:rsidR="00474F59" w:rsidRPr="0026122A" w:rsidRDefault="00474F59" w:rsidP="002C4F74"/>
    <w:tbl>
      <w:tblPr>
        <w:tblStyle w:val="TableGrid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83625C" w:rsidRPr="0026122A" w14:paraId="385BAAF9" w14:textId="77777777" w:rsidTr="002C4F7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BAAF8" w14:textId="77777777" w:rsidR="0083625C" w:rsidRPr="0026122A" w:rsidRDefault="0083625C" w:rsidP="00A213E3">
            <w:pPr>
              <w:jc w:val="center"/>
            </w:pPr>
            <w:r w:rsidRPr="0026122A">
              <w:tab/>
            </w:r>
            <w:r w:rsidRPr="0026122A">
              <w:rPr>
                <w:lang w:val="tr-TR"/>
              </w:rPr>
              <w:t>SİVİL SAVUNMA TEŞKİLATI PERSONEL (DEĞİŞİKLİK) YASASI</w:t>
            </w:r>
          </w:p>
        </w:tc>
      </w:tr>
      <w:tr w:rsidR="0083625C" w:rsidRPr="0026122A" w14:paraId="385BAAFB" w14:textId="77777777" w:rsidTr="002C4F7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BAAFA" w14:textId="77777777" w:rsidR="0083625C" w:rsidRPr="0026122A" w:rsidRDefault="0083625C" w:rsidP="002C4F74">
            <w:pPr>
              <w:jc w:val="center"/>
            </w:pPr>
          </w:p>
        </w:tc>
      </w:tr>
      <w:tr w:rsidR="0083625C" w:rsidRPr="0026122A" w14:paraId="385BAAFE" w14:textId="77777777" w:rsidTr="002C4F74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5BAAFC" w14:textId="77777777" w:rsidR="0083625C" w:rsidRPr="0026122A" w:rsidRDefault="0083625C" w:rsidP="002C4F74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5BAAFD" w14:textId="77777777" w:rsidR="0083625C" w:rsidRPr="0026122A" w:rsidRDefault="0083625C" w:rsidP="002C4F74">
            <w:pPr>
              <w:jc w:val="both"/>
            </w:pPr>
            <w:r>
              <w:t xml:space="preserve">    </w:t>
            </w:r>
            <w:r w:rsidR="00BA1A57">
              <w:t xml:space="preserve">   </w:t>
            </w:r>
            <w:r>
              <w:t xml:space="preserve"> </w:t>
            </w:r>
            <w:proofErr w:type="spellStart"/>
            <w:r w:rsidRPr="0026122A">
              <w:t>Kuzey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Kıbrıs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Türk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Cumhuriyeti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Cumhuriyet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Meclisi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aşağıdaki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Yasayı</w:t>
            </w:r>
            <w:proofErr w:type="spellEnd"/>
            <w:r w:rsidRPr="0026122A">
              <w:t xml:space="preserve"> </w:t>
            </w:r>
            <w:proofErr w:type="spellStart"/>
            <w:r w:rsidRPr="0026122A">
              <w:t>yapar</w:t>
            </w:r>
            <w:proofErr w:type="spellEnd"/>
            <w:r w:rsidRPr="0026122A">
              <w:t>:</w:t>
            </w:r>
          </w:p>
        </w:tc>
      </w:tr>
      <w:tr w:rsidR="0083625C" w:rsidRPr="0026122A" w14:paraId="385BAB01" w14:textId="77777777" w:rsidTr="002C4F74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5BAAFF" w14:textId="77777777" w:rsidR="0083625C" w:rsidRPr="0026122A" w:rsidRDefault="0083625C" w:rsidP="002C4F74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5BAB00" w14:textId="77777777" w:rsidR="0083625C" w:rsidRDefault="0083625C" w:rsidP="002C4F74">
            <w:pPr>
              <w:jc w:val="both"/>
            </w:pPr>
          </w:p>
        </w:tc>
      </w:tr>
      <w:tr w:rsidR="00A71DF3" w:rsidRPr="0026122A" w14:paraId="385BAB1A" w14:textId="77777777" w:rsidTr="002C4F74">
        <w:trPr>
          <w:trHeight w:val="55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5BAB02" w14:textId="77777777" w:rsidR="00A71DF3" w:rsidRPr="0026122A" w:rsidRDefault="00A71DF3" w:rsidP="002C4F74">
            <w:proofErr w:type="spellStart"/>
            <w:r w:rsidRPr="0026122A">
              <w:t>Kısa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İsim</w:t>
            </w:r>
            <w:proofErr w:type="spellEnd"/>
          </w:p>
          <w:p w14:paraId="385BAB03" w14:textId="77777777" w:rsidR="00A71DF3" w:rsidRPr="0026122A" w:rsidRDefault="00A71DF3" w:rsidP="002C4F74">
            <w:r w:rsidRPr="0026122A">
              <w:t>2/1980</w:t>
            </w:r>
          </w:p>
          <w:p w14:paraId="385BAB04" w14:textId="77777777" w:rsidR="00A71DF3" w:rsidRPr="0026122A" w:rsidRDefault="004F0DA6" w:rsidP="002C4F74">
            <w:pPr>
              <w:ind w:right="175"/>
              <w:jc w:val="center"/>
            </w:pPr>
            <w:r>
              <w:t xml:space="preserve"> </w:t>
            </w:r>
            <w:r w:rsidR="00A71DF3" w:rsidRPr="0026122A">
              <w:t>5/1982    15/1982</w:t>
            </w:r>
          </w:p>
          <w:p w14:paraId="385BAB05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11/1984</w:t>
            </w:r>
          </w:p>
          <w:p w14:paraId="385BAB06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40/1984</w:t>
            </w:r>
          </w:p>
          <w:p w14:paraId="385BAB07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34/1986</w:t>
            </w:r>
          </w:p>
          <w:p w14:paraId="385BAB08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53/1987</w:t>
            </w:r>
          </w:p>
          <w:p w14:paraId="385BAB09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35/1988</w:t>
            </w:r>
          </w:p>
          <w:p w14:paraId="385BAB0A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40/1988</w:t>
            </w:r>
          </w:p>
          <w:p w14:paraId="385BAB0B" w14:textId="77777777" w:rsidR="00A71DF3" w:rsidRPr="0026122A" w:rsidRDefault="00DA008E" w:rsidP="002C4F74">
            <w:pPr>
              <w:ind w:right="175"/>
            </w:pPr>
            <w:r>
              <w:t xml:space="preserve">    </w:t>
            </w:r>
            <w:r w:rsidR="00A71DF3" w:rsidRPr="0026122A">
              <w:t>51/1990</w:t>
            </w:r>
          </w:p>
          <w:p w14:paraId="385BAB0C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30/1992</w:t>
            </w:r>
          </w:p>
          <w:p w14:paraId="385BAB0D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49/1994</w:t>
            </w:r>
          </w:p>
          <w:p w14:paraId="385BAB0E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12/2001</w:t>
            </w:r>
          </w:p>
          <w:p w14:paraId="385BAB0F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28/2001</w:t>
            </w:r>
          </w:p>
          <w:p w14:paraId="385BAB10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44/2002</w:t>
            </w:r>
          </w:p>
          <w:p w14:paraId="385BAB11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16/2004</w:t>
            </w:r>
          </w:p>
          <w:p w14:paraId="385BAB12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16/2005</w:t>
            </w:r>
          </w:p>
          <w:p w14:paraId="385BAB13" w14:textId="77777777" w:rsidR="00A71DF3" w:rsidRPr="0026122A" w:rsidRDefault="00A71DF3" w:rsidP="002C4F74">
            <w:pPr>
              <w:ind w:right="175"/>
              <w:jc w:val="center"/>
            </w:pPr>
            <w:r w:rsidRPr="0026122A">
              <w:t>77/2009</w:t>
            </w:r>
          </w:p>
          <w:p w14:paraId="385BAB14" w14:textId="77777777" w:rsidR="00DA008E" w:rsidRDefault="00DA008E" w:rsidP="002C4F74">
            <w:pPr>
              <w:ind w:right="175"/>
            </w:pPr>
            <w:r>
              <w:t xml:space="preserve">  </w:t>
            </w:r>
            <w:r w:rsidR="00610B6A">
              <w:t xml:space="preserve">  </w:t>
            </w:r>
            <w:r>
              <w:t xml:space="preserve"> </w:t>
            </w:r>
            <w:r w:rsidR="002D4140" w:rsidRPr="0026122A">
              <w:t xml:space="preserve">52/2010 </w:t>
            </w:r>
            <w:r>
              <w:t xml:space="preserve">  </w:t>
            </w:r>
          </w:p>
          <w:p w14:paraId="385BAB15" w14:textId="77777777" w:rsidR="00DA008E" w:rsidRDefault="00DA008E" w:rsidP="002C4F74">
            <w:pPr>
              <w:ind w:right="175"/>
            </w:pPr>
            <w:r>
              <w:t xml:space="preserve">       </w:t>
            </w:r>
            <w:r w:rsidR="002D4140" w:rsidRPr="0026122A">
              <w:t xml:space="preserve">4/2011 </w:t>
            </w:r>
          </w:p>
          <w:p w14:paraId="385BAB16" w14:textId="77777777" w:rsidR="0026122A" w:rsidRPr="0026122A" w:rsidRDefault="00DA008E" w:rsidP="002C4F74">
            <w:pPr>
              <w:ind w:right="175"/>
            </w:pPr>
            <w:r>
              <w:t xml:space="preserve">     </w:t>
            </w:r>
            <w:r w:rsidR="002D4140" w:rsidRPr="0026122A">
              <w:t>31/2011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5BAB17" w14:textId="77777777" w:rsidR="00A71DF3" w:rsidRPr="0026122A" w:rsidRDefault="00A71DF3" w:rsidP="002C4F74">
            <w:pPr>
              <w:jc w:val="both"/>
            </w:pPr>
            <w:r w:rsidRPr="0026122A">
              <w:t xml:space="preserve">1. Bu </w:t>
            </w:r>
            <w:proofErr w:type="spellStart"/>
            <w:r w:rsidRPr="0026122A">
              <w:t>Yasa</w:t>
            </w:r>
            <w:proofErr w:type="spellEnd"/>
            <w:r w:rsidRPr="0026122A">
              <w:t xml:space="preserve">, </w:t>
            </w:r>
            <w:proofErr w:type="spellStart"/>
            <w:r w:rsidRPr="0026122A">
              <w:t>Sivil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Savunma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Teşkilatı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Personel</w:t>
            </w:r>
            <w:proofErr w:type="spellEnd"/>
            <w:r w:rsidRPr="0026122A">
              <w:t xml:space="preserve"> (</w:t>
            </w:r>
            <w:proofErr w:type="spellStart"/>
            <w:r w:rsidRPr="0026122A">
              <w:t>Değişiklik</w:t>
            </w:r>
            <w:proofErr w:type="spellEnd"/>
            <w:r w:rsidRPr="0026122A">
              <w:t xml:space="preserve">) </w:t>
            </w:r>
            <w:proofErr w:type="spellStart"/>
            <w:r w:rsidRPr="0026122A">
              <w:t>Yasası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olarak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isimlendirilir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ve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aşağıda</w:t>
            </w:r>
            <w:proofErr w:type="spellEnd"/>
            <w:r w:rsidRPr="0026122A">
              <w:t xml:space="preserve"> “</w:t>
            </w:r>
            <w:proofErr w:type="spellStart"/>
            <w:r w:rsidRPr="0026122A">
              <w:t>Esas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Yasa</w:t>
            </w:r>
            <w:proofErr w:type="spellEnd"/>
            <w:r w:rsidRPr="0026122A">
              <w:t xml:space="preserve">” </w:t>
            </w:r>
            <w:proofErr w:type="spellStart"/>
            <w:r w:rsidRPr="0026122A">
              <w:t>olarak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anılan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Sivil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Savunma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Teşkilatı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Personel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Yasası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ile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birlikte</w:t>
            </w:r>
            <w:proofErr w:type="spellEnd"/>
            <w:r w:rsidR="00FC53AF" w:rsidRPr="0026122A">
              <w:t xml:space="preserve"> </w:t>
            </w:r>
            <w:proofErr w:type="spellStart"/>
            <w:r w:rsidRPr="0026122A">
              <w:t>okunur</w:t>
            </w:r>
            <w:proofErr w:type="spellEnd"/>
            <w:r w:rsidRPr="0026122A">
              <w:t>.</w:t>
            </w:r>
          </w:p>
          <w:p w14:paraId="385BAB18" w14:textId="77777777" w:rsidR="00A71DF3" w:rsidRDefault="00A71DF3" w:rsidP="002C4F74">
            <w:pPr>
              <w:jc w:val="both"/>
            </w:pPr>
          </w:p>
          <w:p w14:paraId="385BAB19" w14:textId="77777777" w:rsidR="006D36FD" w:rsidRPr="0026122A" w:rsidRDefault="006D36FD" w:rsidP="002C4F74">
            <w:pPr>
              <w:jc w:val="both"/>
            </w:pPr>
          </w:p>
        </w:tc>
      </w:tr>
      <w:tr w:rsidR="006D36FD" w:rsidRPr="0026122A" w14:paraId="385BAB1D" w14:textId="77777777" w:rsidTr="002C4F74">
        <w:trPr>
          <w:trHeight w:val="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5BAB1B" w14:textId="77777777" w:rsidR="006D36FD" w:rsidRPr="0026122A" w:rsidRDefault="006D36FD" w:rsidP="002C4F74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5BAB1C" w14:textId="77777777" w:rsidR="006D36FD" w:rsidRPr="0026122A" w:rsidRDefault="006D36FD" w:rsidP="002C4F74">
            <w:pPr>
              <w:jc w:val="both"/>
            </w:pPr>
          </w:p>
        </w:tc>
      </w:tr>
    </w:tbl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344"/>
        <w:gridCol w:w="648"/>
        <w:gridCol w:w="709"/>
        <w:gridCol w:w="567"/>
        <w:gridCol w:w="236"/>
        <w:gridCol w:w="331"/>
        <w:gridCol w:w="567"/>
        <w:gridCol w:w="236"/>
        <w:gridCol w:w="4300"/>
      </w:tblGrid>
      <w:tr w:rsidR="00230677" w:rsidRPr="0026122A" w14:paraId="385BAB21" w14:textId="77777777" w:rsidTr="002C4F74">
        <w:tc>
          <w:tcPr>
            <w:tcW w:w="1702" w:type="dxa"/>
            <w:vMerge w:val="restart"/>
          </w:tcPr>
          <w:p w14:paraId="385BAB1E" w14:textId="77777777" w:rsidR="00230677" w:rsidRPr="0026122A" w:rsidRDefault="00230677" w:rsidP="002C4F74">
            <w:pPr>
              <w:rPr>
                <w:lang w:val="tr-TR"/>
              </w:rPr>
            </w:pPr>
            <w:r w:rsidRPr="0026122A">
              <w:rPr>
                <w:lang w:val="tr-TR"/>
              </w:rPr>
              <w:t>Esas Yasanın 99’uncu Maddesinin Değiştirilmesi</w:t>
            </w:r>
          </w:p>
          <w:p w14:paraId="385BAB1F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7938" w:type="dxa"/>
            <w:gridSpan w:val="9"/>
          </w:tcPr>
          <w:p w14:paraId="385BAB20" w14:textId="77777777" w:rsidR="00230677" w:rsidRPr="0026122A" w:rsidRDefault="009B093E" w:rsidP="002C4F74">
            <w:pPr>
              <w:jc w:val="both"/>
              <w:rPr>
                <w:lang w:val="tr-TR"/>
              </w:rPr>
            </w:pPr>
            <w:r w:rsidRPr="0026122A">
              <w:rPr>
                <w:lang w:val="tr-TR"/>
              </w:rPr>
              <w:t xml:space="preserve">2. </w:t>
            </w:r>
            <w:r w:rsidR="00230677" w:rsidRPr="0026122A">
              <w:rPr>
                <w:lang w:val="tr-TR"/>
              </w:rPr>
              <w:t xml:space="preserve">Esas Yasa, 99’uncu maddesi kaldırılmak ve yerine aşağıdaki yeni </w:t>
            </w:r>
            <w:r w:rsidR="006D36FD">
              <w:rPr>
                <w:lang w:val="tr-TR"/>
              </w:rPr>
              <w:t>99’uncu madde</w:t>
            </w:r>
            <w:r w:rsidR="00230677" w:rsidRPr="0026122A">
              <w:rPr>
                <w:lang w:val="tr-TR"/>
              </w:rPr>
              <w:t xml:space="preserve"> konmak suretiyle değiştirilir:</w:t>
            </w:r>
          </w:p>
        </w:tc>
      </w:tr>
      <w:tr w:rsidR="00230677" w:rsidRPr="0026122A" w14:paraId="385BAB28" w14:textId="77777777" w:rsidTr="002C4F74">
        <w:tc>
          <w:tcPr>
            <w:tcW w:w="1702" w:type="dxa"/>
            <w:vMerge/>
          </w:tcPr>
          <w:p w14:paraId="385BAB22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85BAB23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1276" w:type="dxa"/>
            <w:gridSpan w:val="2"/>
          </w:tcPr>
          <w:p w14:paraId="385BAB24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236" w:type="dxa"/>
          </w:tcPr>
          <w:p w14:paraId="385BAB25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1134" w:type="dxa"/>
            <w:gridSpan w:val="3"/>
          </w:tcPr>
          <w:p w14:paraId="385BAB26" w14:textId="77777777" w:rsidR="00230677" w:rsidRPr="0026122A" w:rsidRDefault="00230677" w:rsidP="002C4F74">
            <w:pPr>
              <w:rPr>
                <w:lang w:val="tr-TR"/>
              </w:rPr>
            </w:pPr>
          </w:p>
        </w:tc>
        <w:tc>
          <w:tcPr>
            <w:tcW w:w="4300" w:type="dxa"/>
          </w:tcPr>
          <w:p w14:paraId="385BAB27" w14:textId="77777777" w:rsidR="00230677" w:rsidRPr="0026122A" w:rsidRDefault="00230677" w:rsidP="002C4F74">
            <w:pPr>
              <w:jc w:val="both"/>
              <w:rPr>
                <w:lang w:val="tr-TR"/>
              </w:rPr>
            </w:pPr>
          </w:p>
        </w:tc>
      </w:tr>
      <w:tr w:rsidR="006D36FD" w:rsidRPr="0026122A" w14:paraId="385BAB32" w14:textId="77777777" w:rsidTr="002C4F74">
        <w:tc>
          <w:tcPr>
            <w:tcW w:w="1702" w:type="dxa"/>
            <w:vMerge/>
          </w:tcPr>
          <w:p w14:paraId="385BAB29" w14:textId="77777777" w:rsidR="006D36FD" w:rsidRPr="0026122A" w:rsidRDefault="006D36FD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2A" w14:textId="77777777" w:rsidR="006D36FD" w:rsidRPr="0026122A" w:rsidRDefault="006D36FD" w:rsidP="002C4F74">
            <w:pPr>
              <w:ind w:left="176"/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2B" w14:textId="77777777" w:rsidR="00DA332E" w:rsidRDefault="00DA332E" w:rsidP="002C4F74">
            <w:pPr>
              <w:rPr>
                <w:lang w:val="tr-TR"/>
              </w:rPr>
            </w:pPr>
            <w:r>
              <w:rPr>
                <w:lang w:val="tr-TR"/>
              </w:rPr>
              <w:t>“</w:t>
            </w:r>
            <w:r w:rsidR="006D36FD">
              <w:rPr>
                <w:lang w:val="tr-TR"/>
              </w:rPr>
              <w:t xml:space="preserve">Çalışma </w:t>
            </w:r>
            <w:r>
              <w:rPr>
                <w:lang w:val="tr-TR"/>
              </w:rPr>
              <w:t xml:space="preserve">                </w:t>
            </w:r>
          </w:p>
          <w:p w14:paraId="385BAB2C" w14:textId="77777777" w:rsidR="006D36FD" w:rsidRPr="0026122A" w:rsidRDefault="00DA332E" w:rsidP="002C4F74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6D36FD">
              <w:rPr>
                <w:lang w:val="tr-TR"/>
              </w:rPr>
              <w:t>Saatleri</w:t>
            </w:r>
          </w:p>
        </w:tc>
        <w:tc>
          <w:tcPr>
            <w:tcW w:w="567" w:type="dxa"/>
          </w:tcPr>
          <w:p w14:paraId="385BAB2D" w14:textId="77777777" w:rsidR="006D36FD" w:rsidRPr="0026122A" w:rsidRDefault="006D36FD" w:rsidP="002C4F74">
            <w:pPr>
              <w:rPr>
                <w:lang w:val="tr-TR"/>
              </w:rPr>
            </w:pPr>
            <w:r>
              <w:rPr>
                <w:lang w:val="tr-TR"/>
              </w:rPr>
              <w:t>99.</w:t>
            </w:r>
          </w:p>
        </w:tc>
        <w:tc>
          <w:tcPr>
            <w:tcW w:w="567" w:type="dxa"/>
            <w:gridSpan w:val="2"/>
          </w:tcPr>
          <w:p w14:paraId="385BAB2E" w14:textId="77777777" w:rsidR="006D36FD" w:rsidRPr="0026122A" w:rsidRDefault="006D36FD" w:rsidP="002C4F74">
            <w:pPr>
              <w:jc w:val="center"/>
              <w:rPr>
                <w:lang w:val="tr-TR"/>
              </w:rPr>
            </w:pPr>
            <w:r w:rsidRPr="0026122A">
              <w:rPr>
                <w:lang w:val="tr-TR"/>
              </w:rPr>
              <w:t>(1)</w:t>
            </w:r>
          </w:p>
        </w:tc>
        <w:tc>
          <w:tcPr>
            <w:tcW w:w="567" w:type="dxa"/>
          </w:tcPr>
          <w:p w14:paraId="385BAB2F" w14:textId="77777777" w:rsidR="006D36FD" w:rsidRPr="0026122A" w:rsidRDefault="006D36FD" w:rsidP="002C4F74">
            <w:pPr>
              <w:rPr>
                <w:lang w:val="tr-TR"/>
              </w:rPr>
            </w:pPr>
            <w:r w:rsidRPr="0026122A">
              <w:rPr>
                <w:lang w:val="tr-TR"/>
              </w:rPr>
              <w:t>(A)</w:t>
            </w:r>
          </w:p>
        </w:tc>
        <w:tc>
          <w:tcPr>
            <w:tcW w:w="4536" w:type="dxa"/>
            <w:gridSpan w:val="2"/>
          </w:tcPr>
          <w:p w14:paraId="385BAB30" w14:textId="77777777" w:rsidR="006D36FD" w:rsidRPr="0026122A" w:rsidRDefault="006D36FD" w:rsidP="002C4F74">
            <w:pPr>
              <w:jc w:val="both"/>
              <w:rPr>
                <w:lang w:val="tr-TR"/>
              </w:rPr>
            </w:pPr>
            <w:r w:rsidRPr="0026122A">
              <w:rPr>
                <w:lang w:val="tr-TR"/>
              </w:rPr>
              <w:t xml:space="preserve">Sivil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>avunma görevlilerinin haftalık çalışma süresi, yaz mesaisinde 35</w:t>
            </w:r>
            <w:r w:rsidR="0031102B">
              <w:rPr>
                <w:lang w:val="tr-TR"/>
              </w:rPr>
              <w:t xml:space="preserve"> (otuz beş)</w:t>
            </w:r>
            <w:r w:rsidRPr="0026122A">
              <w:rPr>
                <w:lang w:val="tr-TR"/>
              </w:rPr>
              <w:t xml:space="preserve">, kış mesaisinde 40 </w:t>
            </w:r>
            <w:r w:rsidR="0031102B">
              <w:rPr>
                <w:lang w:val="tr-TR"/>
              </w:rPr>
              <w:t xml:space="preserve">(kırk) </w:t>
            </w:r>
            <w:r w:rsidRPr="0026122A">
              <w:rPr>
                <w:lang w:val="tr-TR"/>
              </w:rPr>
              <w:t>saattir. Bu süreler, Cumartesi ve Pazar günleri tatil olmak üzere düzenlenir.</w:t>
            </w:r>
          </w:p>
          <w:p w14:paraId="385BAB31" w14:textId="77777777" w:rsidR="006D36FD" w:rsidRPr="0026122A" w:rsidRDefault="006D36FD" w:rsidP="00C94FBB">
            <w:pPr>
              <w:jc w:val="both"/>
              <w:rPr>
                <w:lang w:val="tr-TR"/>
              </w:rPr>
            </w:pPr>
            <w:r w:rsidRPr="0026122A">
              <w:rPr>
                <w:lang w:val="tr-TR"/>
              </w:rPr>
              <w:t xml:space="preserve">        Ancak vardiya veya rota usulüyle çalışan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 xml:space="preserve">ivil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>avunma görevlileri için Cumartesi ve Pazar günleri</w:t>
            </w:r>
            <w:r w:rsidR="006F4756">
              <w:rPr>
                <w:lang w:val="tr-TR"/>
              </w:rPr>
              <w:t>,</w:t>
            </w:r>
            <w:r w:rsidRPr="0026122A">
              <w:rPr>
                <w:lang w:val="tr-TR"/>
              </w:rPr>
              <w:t xml:space="preserve"> vardiya veya rota süresi içerisine düşmesi halinde tatil olarak düzenlenmez.</w:t>
            </w:r>
          </w:p>
        </w:tc>
      </w:tr>
      <w:tr w:rsidR="0031102B" w:rsidRPr="0026122A" w14:paraId="385BAB3E" w14:textId="77777777" w:rsidTr="002C4F74">
        <w:tc>
          <w:tcPr>
            <w:tcW w:w="1702" w:type="dxa"/>
          </w:tcPr>
          <w:p w14:paraId="385BAB33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34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35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5BAB36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  <w:gridSpan w:val="2"/>
          </w:tcPr>
          <w:p w14:paraId="385BAB37" w14:textId="77777777" w:rsidR="0031102B" w:rsidRPr="0026122A" w:rsidRDefault="0031102B" w:rsidP="002C4F74">
            <w:pPr>
              <w:jc w:val="center"/>
              <w:rPr>
                <w:lang w:val="tr-TR"/>
              </w:rPr>
            </w:pPr>
          </w:p>
        </w:tc>
        <w:tc>
          <w:tcPr>
            <w:tcW w:w="567" w:type="dxa"/>
          </w:tcPr>
          <w:p w14:paraId="385BAB38" w14:textId="77777777" w:rsidR="0031102B" w:rsidRPr="0026122A" w:rsidRDefault="0031102B" w:rsidP="002C4F74">
            <w:pPr>
              <w:rPr>
                <w:lang w:val="tr-TR"/>
              </w:rPr>
            </w:pPr>
            <w:r w:rsidRPr="0026122A">
              <w:rPr>
                <w:lang w:val="tr-TR"/>
              </w:rPr>
              <w:t>(B)</w:t>
            </w:r>
          </w:p>
        </w:tc>
        <w:tc>
          <w:tcPr>
            <w:tcW w:w="4536" w:type="dxa"/>
            <w:gridSpan w:val="2"/>
          </w:tcPr>
          <w:p w14:paraId="385BAB39" w14:textId="77777777" w:rsidR="0031102B" w:rsidRDefault="0031102B" w:rsidP="006F4756">
            <w:pPr>
              <w:jc w:val="both"/>
              <w:rPr>
                <w:lang w:val="tr-TR"/>
              </w:rPr>
            </w:pPr>
            <w:r w:rsidRPr="0026122A">
              <w:rPr>
                <w:lang w:val="tr-TR"/>
              </w:rPr>
              <w:t>Çalışma saatleri</w:t>
            </w:r>
            <w:r w:rsidR="001F0990">
              <w:rPr>
                <w:lang w:val="tr-TR"/>
              </w:rPr>
              <w:t xml:space="preserve"> dışında çalışmaları öngörülen </w:t>
            </w:r>
            <w:r w:rsidR="006F4756">
              <w:rPr>
                <w:lang w:val="tr-TR"/>
              </w:rPr>
              <w:t>s</w:t>
            </w:r>
            <w:r w:rsidR="001F0990">
              <w:rPr>
                <w:lang w:val="tr-TR"/>
              </w:rPr>
              <w:t xml:space="preserve">ivil </w:t>
            </w:r>
            <w:r w:rsidR="006F4756">
              <w:rPr>
                <w:lang w:val="tr-TR"/>
              </w:rPr>
              <w:t>s</w:t>
            </w:r>
            <w:r w:rsidRPr="0026122A">
              <w:rPr>
                <w:lang w:val="tr-TR"/>
              </w:rPr>
              <w:t xml:space="preserve">avunma görevlilerinin, çalışma saatleri dışında da çalışmaları esastır. Bu takdirde, ek çalışma ödeneği ile ilgili </w:t>
            </w:r>
            <w:r w:rsidR="00C94FBB">
              <w:rPr>
                <w:lang w:val="tr-TR"/>
              </w:rPr>
              <w:t xml:space="preserve">bu Yasanın </w:t>
            </w:r>
            <w:r w:rsidRPr="0026122A">
              <w:rPr>
                <w:lang w:val="tr-TR"/>
              </w:rPr>
              <w:t>33’üncü madde kuralları uygulanır.</w:t>
            </w:r>
          </w:p>
          <w:p w14:paraId="385BAB3A" w14:textId="77777777" w:rsidR="006F4756" w:rsidRDefault="006F4756" w:rsidP="006F4756">
            <w:pPr>
              <w:jc w:val="both"/>
              <w:rPr>
                <w:lang w:val="tr-TR"/>
              </w:rPr>
            </w:pPr>
          </w:p>
          <w:p w14:paraId="385BAB3B" w14:textId="77777777" w:rsidR="006F4756" w:rsidRDefault="006F4756" w:rsidP="006F4756">
            <w:pPr>
              <w:jc w:val="both"/>
              <w:rPr>
                <w:lang w:val="tr-TR"/>
              </w:rPr>
            </w:pPr>
          </w:p>
          <w:p w14:paraId="385BAB3C" w14:textId="77777777" w:rsidR="006F4756" w:rsidRDefault="006F4756" w:rsidP="006F4756">
            <w:pPr>
              <w:jc w:val="both"/>
              <w:rPr>
                <w:lang w:val="tr-TR"/>
              </w:rPr>
            </w:pPr>
          </w:p>
          <w:p w14:paraId="385BAB3D" w14:textId="77777777" w:rsidR="006F4756" w:rsidRPr="0026122A" w:rsidRDefault="006F4756" w:rsidP="006F4756">
            <w:pPr>
              <w:jc w:val="both"/>
              <w:rPr>
                <w:lang w:val="tr-TR"/>
              </w:rPr>
            </w:pPr>
          </w:p>
        </w:tc>
      </w:tr>
      <w:tr w:rsidR="0031102B" w:rsidRPr="0026122A" w14:paraId="385BAB45" w14:textId="77777777" w:rsidTr="002C4F74">
        <w:tc>
          <w:tcPr>
            <w:tcW w:w="1702" w:type="dxa"/>
          </w:tcPr>
          <w:p w14:paraId="385BAB3F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40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41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5BAB42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  <w:gridSpan w:val="2"/>
          </w:tcPr>
          <w:p w14:paraId="385BAB43" w14:textId="77777777" w:rsidR="0031102B" w:rsidRPr="0026122A" w:rsidRDefault="0031102B" w:rsidP="002C4F74">
            <w:pPr>
              <w:jc w:val="center"/>
              <w:rPr>
                <w:lang w:val="tr-TR"/>
              </w:rPr>
            </w:pPr>
            <w:r w:rsidRPr="0026122A">
              <w:rPr>
                <w:lang w:val="tr-TR"/>
              </w:rPr>
              <w:t>(2)</w:t>
            </w:r>
          </w:p>
        </w:tc>
        <w:tc>
          <w:tcPr>
            <w:tcW w:w="5103" w:type="dxa"/>
            <w:gridSpan w:val="3"/>
          </w:tcPr>
          <w:p w14:paraId="385BAB44" w14:textId="77777777" w:rsidR="0031102B" w:rsidRPr="0026122A" w:rsidRDefault="0031102B" w:rsidP="006F4756">
            <w:pPr>
              <w:jc w:val="both"/>
              <w:rPr>
                <w:lang w:val="tr-TR"/>
              </w:rPr>
            </w:pPr>
            <w:r w:rsidRPr="0026122A">
              <w:rPr>
                <w:lang w:val="tr-TR"/>
              </w:rPr>
              <w:t>Yaz mesaisi çalışma saatleri</w:t>
            </w:r>
            <w:r>
              <w:rPr>
                <w:lang w:val="tr-TR"/>
              </w:rPr>
              <w:t>,</w:t>
            </w:r>
            <w:r w:rsidRPr="0026122A">
              <w:rPr>
                <w:lang w:val="tr-TR"/>
              </w:rPr>
              <w:t xml:space="preserve"> Mayıs </w:t>
            </w:r>
            <w:r w:rsidR="00C94FBB">
              <w:rPr>
                <w:lang w:val="tr-TR"/>
              </w:rPr>
              <w:t>a</w:t>
            </w:r>
            <w:r w:rsidRPr="0026122A">
              <w:rPr>
                <w:lang w:val="tr-TR"/>
              </w:rPr>
              <w:t xml:space="preserve">yının ikinci Pazartesi </w:t>
            </w:r>
            <w:r w:rsidR="00C94FBB">
              <w:rPr>
                <w:lang w:val="tr-TR"/>
              </w:rPr>
              <w:t>g</w:t>
            </w:r>
            <w:r w:rsidRPr="0026122A">
              <w:rPr>
                <w:lang w:val="tr-TR"/>
              </w:rPr>
              <w:t>ünü; kış mesaisi çalışma saatleri</w:t>
            </w:r>
            <w:r w:rsidR="005D4975">
              <w:rPr>
                <w:lang w:val="tr-TR"/>
              </w:rPr>
              <w:t>,</w:t>
            </w:r>
            <w:r w:rsidRPr="0026122A">
              <w:rPr>
                <w:lang w:val="tr-TR"/>
              </w:rPr>
              <w:t xml:space="preserve"> Eylül </w:t>
            </w:r>
            <w:r w:rsidR="00C94FBB">
              <w:rPr>
                <w:lang w:val="tr-TR"/>
              </w:rPr>
              <w:t>a</w:t>
            </w:r>
            <w:r w:rsidRPr="0026122A">
              <w:rPr>
                <w:lang w:val="tr-TR"/>
              </w:rPr>
              <w:t xml:space="preserve">yının üçüncü Pazartesi </w:t>
            </w:r>
            <w:r w:rsidR="00C94FBB">
              <w:rPr>
                <w:lang w:val="tr-TR"/>
              </w:rPr>
              <w:t>g</w:t>
            </w:r>
            <w:r w:rsidRPr="0026122A">
              <w:rPr>
                <w:lang w:val="tr-TR"/>
              </w:rPr>
              <w:t>ünü başlar. Çalışmanın başlama ve bit</w:t>
            </w:r>
            <w:r w:rsidR="0005470E">
              <w:rPr>
                <w:lang w:val="tr-TR"/>
              </w:rPr>
              <w:t>iş</w:t>
            </w:r>
            <w:r w:rsidRPr="0026122A">
              <w:rPr>
                <w:lang w:val="tr-TR"/>
              </w:rPr>
              <w:t xml:space="preserve"> saatleri ile öğle dinlenme saatleri, Bakanlar Kurulunca saptanır.</w:t>
            </w:r>
          </w:p>
        </w:tc>
      </w:tr>
      <w:tr w:rsidR="0031102B" w:rsidRPr="0026122A" w14:paraId="385BAB4C" w14:textId="77777777" w:rsidTr="002C4F74">
        <w:tc>
          <w:tcPr>
            <w:tcW w:w="1702" w:type="dxa"/>
          </w:tcPr>
          <w:p w14:paraId="385BAB46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47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48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5BAB49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  <w:gridSpan w:val="2"/>
          </w:tcPr>
          <w:p w14:paraId="385BAB4A" w14:textId="77777777" w:rsidR="0031102B" w:rsidRPr="0026122A" w:rsidRDefault="0031102B" w:rsidP="002C4F74">
            <w:pPr>
              <w:jc w:val="center"/>
              <w:rPr>
                <w:lang w:val="tr-TR"/>
              </w:rPr>
            </w:pPr>
            <w:r w:rsidRPr="0026122A">
              <w:rPr>
                <w:lang w:val="tr-TR"/>
              </w:rPr>
              <w:t>(3)</w:t>
            </w:r>
          </w:p>
        </w:tc>
        <w:tc>
          <w:tcPr>
            <w:tcW w:w="5103" w:type="dxa"/>
            <w:gridSpan w:val="3"/>
          </w:tcPr>
          <w:p w14:paraId="385BAB4B" w14:textId="77777777" w:rsidR="0031102B" w:rsidRPr="0026122A" w:rsidRDefault="0031102B" w:rsidP="005D4975">
            <w:pPr>
              <w:jc w:val="both"/>
              <w:rPr>
                <w:sz w:val="14"/>
                <w:lang w:val="tr-TR"/>
              </w:rPr>
            </w:pPr>
            <w:r w:rsidRPr="0026122A">
              <w:rPr>
                <w:lang w:val="tr-TR"/>
              </w:rPr>
              <w:t xml:space="preserve">Günün </w:t>
            </w:r>
            <w:r w:rsidR="001C13B3">
              <w:rPr>
                <w:lang w:val="tr-TR"/>
              </w:rPr>
              <w:t>24 (</w:t>
            </w:r>
            <w:r w:rsidRPr="0026122A">
              <w:rPr>
                <w:lang w:val="tr-TR"/>
              </w:rPr>
              <w:t>yirmi dört</w:t>
            </w:r>
            <w:r w:rsidR="001C13B3">
              <w:rPr>
                <w:lang w:val="tr-TR"/>
              </w:rPr>
              <w:t>)</w:t>
            </w:r>
            <w:r w:rsidRPr="0026122A">
              <w:rPr>
                <w:lang w:val="tr-TR"/>
              </w:rPr>
              <w:t xml:space="preserve"> saatinde süreklilik </w:t>
            </w:r>
            <w:proofErr w:type="gramStart"/>
            <w:r w:rsidRPr="0026122A">
              <w:rPr>
                <w:lang w:val="tr-TR"/>
              </w:rPr>
              <w:t xml:space="preserve">gösteren 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>ivil</w:t>
            </w:r>
            <w:proofErr w:type="gramEnd"/>
            <w:r w:rsidRPr="0026122A">
              <w:rPr>
                <w:lang w:val="tr-TR"/>
              </w:rPr>
              <w:t xml:space="preserve">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 xml:space="preserve">avunma hizmetleri, vardiya usulü ile yürütülür. Bu hizmetlerde çalışan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 xml:space="preserve">ivil </w:t>
            </w:r>
            <w:r w:rsidR="00C94FBB">
              <w:rPr>
                <w:lang w:val="tr-TR"/>
              </w:rPr>
              <w:t>s</w:t>
            </w:r>
            <w:r w:rsidRPr="0026122A">
              <w:rPr>
                <w:lang w:val="tr-TR"/>
              </w:rPr>
              <w:t xml:space="preserve">avunma görevlilerinin çalışma saatleri yaz </w:t>
            </w:r>
            <w:proofErr w:type="gramStart"/>
            <w:r w:rsidRPr="0026122A">
              <w:rPr>
                <w:lang w:val="tr-TR"/>
              </w:rPr>
              <w:t xml:space="preserve">mesaisinde </w:t>
            </w:r>
            <w:r w:rsidR="005D4975">
              <w:rPr>
                <w:lang w:val="tr-TR"/>
              </w:rPr>
              <w:t xml:space="preserve">     </w:t>
            </w:r>
            <w:r w:rsidRPr="0026122A">
              <w:rPr>
                <w:lang w:val="tr-TR"/>
              </w:rPr>
              <w:t>35</w:t>
            </w:r>
            <w:proofErr w:type="gramEnd"/>
            <w:r w:rsidR="001C13B3">
              <w:rPr>
                <w:lang w:val="tr-TR"/>
              </w:rPr>
              <w:t xml:space="preserve"> (otuz beş)</w:t>
            </w:r>
            <w:r w:rsidR="006F4756">
              <w:rPr>
                <w:lang w:val="tr-TR"/>
              </w:rPr>
              <w:t>;</w:t>
            </w:r>
            <w:r w:rsidRPr="0026122A">
              <w:rPr>
                <w:lang w:val="tr-TR"/>
              </w:rPr>
              <w:t xml:space="preserve"> kış mesaisinde 40 </w:t>
            </w:r>
            <w:r w:rsidR="001C13B3">
              <w:rPr>
                <w:lang w:val="tr-TR"/>
              </w:rPr>
              <w:t xml:space="preserve">(kırk) </w:t>
            </w:r>
            <w:r w:rsidRPr="0026122A">
              <w:rPr>
                <w:lang w:val="tr-TR"/>
              </w:rPr>
              <w:t>saat olmak üzere düzenlenir.</w:t>
            </w:r>
          </w:p>
        </w:tc>
      </w:tr>
      <w:tr w:rsidR="0031102B" w:rsidRPr="0026122A" w14:paraId="385BAB53" w14:textId="77777777" w:rsidTr="002C4F74">
        <w:tc>
          <w:tcPr>
            <w:tcW w:w="1702" w:type="dxa"/>
          </w:tcPr>
          <w:p w14:paraId="385BAB4D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4E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4F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5BAB50" w14:textId="77777777" w:rsidR="0031102B" w:rsidRPr="0026122A" w:rsidRDefault="0031102B" w:rsidP="002C4F74">
            <w:pPr>
              <w:rPr>
                <w:lang w:val="tr-TR"/>
              </w:rPr>
            </w:pPr>
          </w:p>
        </w:tc>
        <w:tc>
          <w:tcPr>
            <w:tcW w:w="567" w:type="dxa"/>
            <w:gridSpan w:val="2"/>
          </w:tcPr>
          <w:p w14:paraId="385BAB51" w14:textId="77777777" w:rsidR="0031102B" w:rsidRPr="0026122A" w:rsidRDefault="0031102B" w:rsidP="002C4F7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(4)</w:t>
            </w:r>
          </w:p>
        </w:tc>
        <w:tc>
          <w:tcPr>
            <w:tcW w:w="5103" w:type="dxa"/>
            <w:gridSpan w:val="3"/>
          </w:tcPr>
          <w:p w14:paraId="385BAB52" w14:textId="77777777" w:rsidR="0031102B" w:rsidRPr="0026122A" w:rsidRDefault="00FD132D" w:rsidP="006F475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Tatbikat, alarm ve olağanüstü durumlarda </w:t>
            </w:r>
            <w:r w:rsidR="00C94FBB">
              <w:rPr>
                <w:lang w:val="tr-TR"/>
              </w:rPr>
              <w:t>s</w:t>
            </w:r>
            <w:r>
              <w:rPr>
                <w:lang w:val="tr-TR"/>
              </w:rPr>
              <w:t xml:space="preserve">ivil </w:t>
            </w:r>
            <w:r w:rsidR="00C94FBB">
              <w:rPr>
                <w:lang w:val="tr-TR"/>
              </w:rPr>
              <w:t>s</w:t>
            </w:r>
            <w:r>
              <w:rPr>
                <w:lang w:val="tr-TR"/>
              </w:rPr>
              <w:t>avunma görevlilerinin tümü veya gerekli görülenler</w:t>
            </w:r>
            <w:r w:rsidR="006F4756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="00CC2543">
              <w:rPr>
                <w:lang w:val="tr-TR"/>
              </w:rPr>
              <w:t>24 (</w:t>
            </w:r>
            <w:r>
              <w:rPr>
                <w:lang w:val="tr-TR"/>
              </w:rPr>
              <w:t>yirmi dört</w:t>
            </w:r>
            <w:r w:rsidR="00CC2543">
              <w:rPr>
                <w:lang w:val="tr-TR"/>
              </w:rPr>
              <w:t>)</w:t>
            </w:r>
            <w:r>
              <w:rPr>
                <w:lang w:val="tr-TR"/>
              </w:rPr>
              <w:t xml:space="preserve"> saat esasına göre görev yapar. Bu durumlarda </w:t>
            </w:r>
            <w:r w:rsidR="00C94FBB">
              <w:rPr>
                <w:lang w:val="tr-TR"/>
              </w:rPr>
              <w:t>s</w:t>
            </w:r>
            <w:r>
              <w:rPr>
                <w:lang w:val="tr-TR"/>
              </w:rPr>
              <w:t xml:space="preserve">ivil </w:t>
            </w:r>
            <w:r w:rsidR="00C94FBB">
              <w:rPr>
                <w:lang w:val="tr-TR"/>
              </w:rPr>
              <w:t>s</w:t>
            </w:r>
            <w:r>
              <w:rPr>
                <w:lang w:val="tr-TR"/>
              </w:rPr>
              <w:t>avunma görevlilerine ek çalışma ödeneği verilmez</w:t>
            </w:r>
            <w:r>
              <w:t>.”</w:t>
            </w:r>
          </w:p>
        </w:tc>
      </w:tr>
      <w:tr w:rsidR="00FD132D" w:rsidRPr="0026122A" w14:paraId="385BAB5A" w14:textId="77777777" w:rsidTr="002C4F74">
        <w:tc>
          <w:tcPr>
            <w:tcW w:w="1702" w:type="dxa"/>
          </w:tcPr>
          <w:p w14:paraId="385BAB54" w14:textId="77777777" w:rsidR="00FD132D" w:rsidRPr="0026122A" w:rsidRDefault="00FD132D" w:rsidP="002C4F74">
            <w:pPr>
              <w:rPr>
                <w:lang w:val="tr-TR"/>
              </w:rPr>
            </w:pPr>
          </w:p>
        </w:tc>
        <w:tc>
          <w:tcPr>
            <w:tcW w:w="344" w:type="dxa"/>
          </w:tcPr>
          <w:p w14:paraId="385BAB55" w14:textId="77777777" w:rsidR="00FD132D" w:rsidRPr="0026122A" w:rsidRDefault="00FD132D" w:rsidP="002C4F74">
            <w:pPr>
              <w:rPr>
                <w:lang w:val="tr-TR"/>
              </w:rPr>
            </w:pPr>
          </w:p>
        </w:tc>
        <w:tc>
          <w:tcPr>
            <w:tcW w:w="1357" w:type="dxa"/>
            <w:gridSpan w:val="2"/>
          </w:tcPr>
          <w:p w14:paraId="385BAB56" w14:textId="77777777" w:rsidR="00FD132D" w:rsidRPr="0026122A" w:rsidRDefault="00FD132D" w:rsidP="002C4F74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5BAB57" w14:textId="77777777" w:rsidR="00FD132D" w:rsidRPr="0026122A" w:rsidRDefault="00FD132D" w:rsidP="002C4F74">
            <w:pPr>
              <w:rPr>
                <w:lang w:val="tr-TR"/>
              </w:rPr>
            </w:pPr>
          </w:p>
        </w:tc>
        <w:tc>
          <w:tcPr>
            <w:tcW w:w="567" w:type="dxa"/>
            <w:gridSpan w:val="2"/>
          </w:tcPr>
          <w:p w14:paraId="385BAB58" w14:textId="77777777" w:rsidR="00FD132D" w:rsidRDefault="00FD132D" w:rsidP="002C4F74">
            <w:pPr>
              <w:jc w:val="center"/>
              <w:rPr>
                <w:lang w:val="tr-TR"/>
              </w:rPr>
            </w:pPr>
          </w:p>
        </w:tc>
        <w:tc>
          <w:tcPr>
            <w:tcW w:w="5103" w:type="dxa"/>
            <w:gridSpan w:val="3"/>
          </w:tcPr>
          <w:p w14:paraId="385BAB59" w14:textId="77777777" w:rsidR="00FD132D" w:rsidRDefault="00FD132D" w:rsidP="002C4F74">
            <w:pPr>
              <w:jc w:val="both"/>
              <w:rPr>
                <w:lang w:val="tr-TR"/>
              </w:rPr>
            </w:pPr>
          </w:p>
        </w:tc>
      </w:tr>
      <w:tr w:rsidR="009B093E" w:rsidRPr="0026122A" w14:paraId="385BAB5D" w14:textId="77777777" w:rsidTr="002C4F74">
        <w:tc>
          <w:tcPr>
            <w:tcW w:w="1702" w:type="dxa"/>
          </w:tcPr>
          <w:p w14:paraId="385BAB5B" w14:textId="77777777" w:rsidR="009B093E" w:rsidRPr="0026122A" w:rsidRDefault="009B093E" w:rsidP="002C4F74">
            <w:pPr>
              <w:rPr>
                <w:lang w:val="tr-TR"/>
              </w:rPr>
            </w:pPr>
            <w:r w:rsidRPr="0026122A">
              <w:rPr>
                <w:lang w:val="tr-TR"/>
              </w:rPr>
              <w:t>Yürürlüğe Giriş</w:t>
            </w:r>
          </w:p>
        </w:tc>
        <w:tc>
          <w:tcPr>
            <w:tcW w:w="7938" w:type="dxa"/>
            <w:gridSpan w:val="9"/>
          </w:tcPr>
          <w:p w14:paraId="385BAB5C" w14:textId="77777777" w:rsidR="009B093E" w:rsidRPr="0026122A" w:rsidRDefault="009B093E" w:rsidP="002C4F74">
            <w:pPr>
              <w:rPr>
                <w:lang w:val="tr-TR"/>
              </w:rPr>
            </w:pPr>
            <w:r w:rsidRPr="0026122A">
              <w:rPr>
                <w:lang w:val="tr-TR"/>
              </w:rPr>
              <w:t>3.</w:t>
            </w:r>
            <w:r w:rsidR="00CC2543">
              <w:rPr>
                <w:lang w:val="tr-TR"/>
              </w:rPr>
              <w:t xml:space="preserve"> </w:t>
            </w:r>
            <w:r w:rsidRPr="0026122A">
              <w:rPr>
                <w:lang w:val="tr-TR"/>
              </w:rPr>
              <w:t xml:space="preserve">Bu Yasa, Resmi </w:t>
            </w:r>
            <w:proofErr w:type="spellStart"/>
            <w:r w:rsidRPr="0026122A">
              <w:rPr>
                <w:lang w:val="tr-TR"/>
              </w:rPr>
              <w:t>Gazete’de</w:t>
            </w:r>
            <w:proofErr w:type="spellEnd"/>
            <w:r w:rsidRPr="0026122A">
              <w:rPr>
                <w:lang w:val="tr-TR"/>
              </w:rPr>
              <w:t xml:space="preserve"> yayımlandığı tarihten başlayarak yürürlüğe girer.</w:t>
            </w:r>
          </w:p>
        </w:tc>
      </w:tr>
    </w:tbl>
    <w:p w14:paraId="385BAB5E" w14:textId="77777777" w:rsidR="009B093E" w:rsidRPr="0026122A" w:rsidRDefault="009B093E" w:rsidP="002C4F74"/>
    <w:p w14:paraId="385BAB5F" w14:textId="77777777" w:rsidR="009B093E" w:rsidRPr="0026122A" w:rsidRDefault="009B093E" w:rsidP="002C4F74"/>
    <w:p w14:paraId="385BAB60" w14:textId="77777777" w:rsidR="009B093E" w:rsidRPr="0026122A" w:rsidRDefault="009B093E" w:rsidP="002C4F74"/>
    <w:p w14:paraId="385BAB61" w14:textId="77777777" w:rsidR="009B093E" w:rsidRPr="0026122A" w:rsidRDefault="009B093E" w:rsidP="002C4F74"/>
    <w:p w14:paraId="385BAB62" w14:textId="77777777" w:rsidR="009B093E" w:rsidRPr="0026122A" w:rsidRDefault="009B093E" w:rsidP="002C4F74"/>
    <w:p w14:paraId="385BAB63" w14:textId="77777777" w:rsidR="009B093E" w:rsidRPr="0026122A" w:rsidRDefault="009B093E" w:rsidP="002C4F74"/>
    <w:p w14:paraId="385BAB64" w14:textId="77777777" w:rsidR="009B093E" w:rsidRPr="0026122A" w:rsidRDefault="009B093E" w:rsidP="002C4F74"/>
    <w:p w14:paraId="385BAB65" w14:textId="77777777" w:rsidR="009B093E" w:rsidRPr="0026122A" w:rsidRDefault="009B093E" w:rsidP="002C4F74"/>
    <w:p w14:paraId="385BAB66" w14:textId="77777777" w:rsidR="009B093E" w:rsidRPr="0026122A" w:rsidRDefault="009B093E" w:rsidP="002C4F74"/>
    <w:p w14:paraId="385BAB67" w14:textId="77777777" w:rsidR="009B093E" w:rsidRPr="0026122A" w:rsidRDefault="009B093E" w:rsidP="002C4F74"/>
    <w:p w14:paraId="385BAB68" w14:textId="77777777" w:rsidR="009B093E" w:rsidRPr="0026122A" w:rsidRDefault="009B093E" w:rsidP="002C4F74"/>
    <w:p w14:paraId="385BAB69" w14:textId="77777777" w:rsidR="009B093E" w:rsidRPr="0026122A" w:rsidRDefault="009B093E" w:rsidP="002C4F74"/>
    <w:p w14:paraId="385BAB6A" w14:textId="77777777" w:rsidR="009B093E" w:rsidRPr="0026122A" w:rsidRDefault="009B093E" w:rsidP="002C4F74"/>
    <w:p w14:paraId="385BAB6B" w14:textId="77777777" w:rsidR="000468D7" w:rsidRPr="0026122A" w:rsidRDefault="000468D7" w:rsidP="002C4F74"/>
    <w:p w14:paraId="385BAB6C" w14:textId="77777777" w:rsidR="000468D7" w:rsidRPr="0026122A" w:rsidRDefault="000468D7" w:rsidP="002C4F74"/>
    <w:p w14:paraId="385BAB6D" w14:textId="77777777" w:rsidR="000468D7" w:rsidRPr="0026122A" w:rsidRDefault="000468D7" w:rsidP="002C4F74"/>
    <w:p w14:paraId="385BAB6E" w14:textId="77777777" w:rsidR="000468D7" w:rsidRPr="0026122A" w:rsidRDefault="000468D7" w:rsidP="002C4F74"/>
    <w:p w14:paraId="385BAB6F" w14:textId="77777777" w:rsidR="000468D7" w:rsidRPr="0026122A" w:rsidRDefault="000468D7" w:rsidP="002C4F74"/>
    <w:p w14:paraId="385BAB70" w14:textId="77777777" w:rsidR="000468D7" w:rsidRPr="0026122A" w:rsidRDefault="000468D7" w:rsidP="002C4F74"/>
    <w:p w14:paraId="385BAB71" w14:textId="77777777" w:rsidR="000468D7" w:rsidRPr="0026122A" w:rsidRDefault="000468D7" w:rsidP="002C4F74"/>
    <w:p w14:paraId="385BAB72" w14:textId="77777777" w:rsidR="000468D7" w:rsidRPr="0026122A" w:rsidRDefault="000468D7" w:rsidP="002C4F74"/>
    <w:p w14:paraId="385BAB73" w14:textId="77777777" w:rsidR="000468D7" w:rsidRPr="0026122A" w:rsidRDefault="000468D7" w:rsidP="002C4F74"/>
    <w:p w14:paraId="385BAB74" w14:textId="77777777" w:rsidR="000468D7" w:rsidRPr="0026122A" w:rsidRDefault="000468D7" w:rsidP="002C4F74"/>
    <w:p w14:paraId="385BAB75" w14:textId="77777777" w:rsidR="000468D7" w:rsidRPr="0026122A" w:rsidRDefault="000468D7" w:rsidP="002C4F74"/>
    <w:p w14:paraId="385BAB76" w14:textId="77777777" w:rsidR="000468D7" w:rsidRPr="0026122A" w:rsidRDefault="000468D7" w:rsidP="002C4F74"/>
    <w:p w14:paraId="385BAB77" w14:textId="77777777" w:rsidR="00B5333F" w:rsidRPr="0026122A" w:rsidRDefault="00B5333F" w:rsidP="002C4F74"/>
    <w:p w14:paraId="385BAB78" w14:textId="77777777" w:rsidR="00B5333F" w:rsidRPr="0026122A" w:rsidRDefault="00B5333F" w:rsidP="002C4F74"/>
    <w:p w14:paraId="385BAB79" w14:textId="77777777" w:rsidR="00B5333F" w:rsidRPr="0026122A" w:rsidRDefault="00B5333F" w:rsidP="002C4F74"/>
    <w:p w14:paraId="385BAB7A" w14:textId="77777777" w:rsidR="00B5333F" w:rsidRPr="0026122A" w:rsidRDefault="00B5333F" w:rsidP="002C4F74"/>
    <w:sectPr w:rsidR="00B5333F" w:rsidRPr="0026122A" w:rsidSect="004178F2">
      <w:footerReference w:type="defaul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BA29" w14:textId="77777777" w:rsidR="0018583A" w:rsidRDefault="0018583A" w:rsidP="00C47AF6">
      <w:r>
        <w:separator/>
      </w:r>
    </w:p>
  </w:endnote>
  <w:endnote w:type="continuationSeparator" w:id="0">
    <w:p w14:paraId="562745A2" w14:textId="77777777" w:rsidR="0018583A" w:rsidRDefault="0018583A" w:rsidP="00C4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589"/>
      <w:docPartObj>
        <w:docPartGallery w:val="Page Numbers (Bottom of Page)"/>
        <w:docPartUnique/>
      </w:docPartObj>
    </w:sdtPr>
    <w:sdtContent>
      <w:p w14:paraId="362A275E" w14:textId="31003D1A" w:rsidR="004178F2" w:rsidRDefault="004178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78F2">
          <w:rPr>
            <w:noProof/>
            <w:lang w:val="tr-TR"/>
          </w:rPr>
          <w:t>2</w:t>
        </w:r>
        <w:r>
          <w:fldChar w:fldCharType="end"/>
        </w:r>
      </w:p>
    </w:sdtContent>
  </w:sdt>
  <w:p w14:paraId="385BAB83" w14:textId="77777777" w:rsidR="00C47AF6" w:rsidRDefault="00C4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0908" w14:textId="77777777" w:rsidR="0018583A" w:rsidRDefault="0018583A" w:rsidP="00C47AF6">
      <w:r>
        <w:separator/>
      </w:r>
    </w:p>
  </w:footnote>
  <w:footnote w:type="continuationSeparator" w:id="0">
    <w:p w14:paraId="14553A93" w14:textId="77777777" w:rsidR="0018583A" w:rsidRDefault="0018583A" w:rsidP="00C4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12F0D"/>
    <w:rsid w:val="000468D7"/>
    <w:rsid w:val="0005470E"/>
    <w:rsid w:val="0018583A"/>
    <w:rsid w:val="00190AD7"/>
    <w:rsid w:val="001C13B3"/>
    <w:rsid w:val="001F0990"/>
    <w:rsid w:val="0020504D"/>
    <w:rsid w:val="00230677"/>
    <w:rsid w:val="00237AFB"/>
    <w:rsid w:val="0024385C"/>
    <w:rsid w:val="0025646A"/>
    <w:rsid w:val="0026122A"/>
    <w:rsid w:val="002C4F74"/>
    <w:rsid w:val="002D4140"/>
    <w:rsid w:val="0031102B"/>
    <w:rsid w:val="00327BCC"/>
    <w:rsid w:val="00344F71"/>
    <w:rsid w:val="003564A1"/>
    <w:rsid w:val="00391DB6"/>
    <w:rsid w:val="003D115F"/>
    <w:rsid w:val="003E0896"/>
    <w:rsid w:val="003E7EC7"/>
    <w:rsid w:val="00411E95"/>
    <w:rsid w:val="00416C01"/>
    <w:rsid w:val="004178F2"/>
    <w:rsid w:val="004212CD"/>
    <w:rsid w:val="00474F59"/>
    <w:rsid w:val="004A2675"/>
    <w:rsid w:val="004C160E"/>
    <w:rsid w:val="004F0DA6"/>
    <w:rsid w:val="004F54F3"/>
    <w:rsid w:val="00547F36"/>
    <w:rsid w:val="005D4975"/>
    <w:rsid w:val="00610B6A"/>
    <w:rsid w:val="00664AB6"/>
    <w:rsid w:val="006D36FD"/>
    <w:rsid w:val="006F0C05"/>
    <w:rsid w:val="006F4756"/>
    <w:rsid w:val="00731268"/>
    <w:rsid w:val="00747985"/>
    <w:rsid w:val="007937C0"/>
    <w:rsid w:val="007A03DE"/>
    <w:rsid w:val="007A5FEC"/>
    <w:rsid w:val="007F02B9"/>
    <w:rsid w:val="00800F6A"/>
    <w:rsid w:val="008319F6"/>
    <w:rsid w:val="008354F4"/>
    <w:rsid w:val="0083625C"/>
    <w:rsid w:val="00857FF8"/>
    <w:rsid w:val="00874807"/>
    <w:rsid w:val="008A0D93"/>
    <w:rsid w:val="008A462E"/>
    <w:rsid w:val="008F0152"/>
    <w:rsid w:val="009A748B"/>
    <w:rsid w:val="009B093E"/>
    <w:rsid w:val="009C7406"/>
    <w:rsid w:val="00A213E3"/>
    <w:rsid w:val="00A71DF3"/>
    <w:rsid w:val="00AB403A"/>
    <w:rsid w:val="00AD5CD4"/>
    <w:rsid w:val="00AE455C"/>
    <w:rsid w:val="00AE7362"/>
    <w:rsid w:val="00B3661D"/>
    <w:rsid w:val="00B5333F"/>
    <w:rsid w:val="00B66D17"/>
    <w:rsid w:val="00BA1A57"/>
    <w:rsid w:val="00BF2E3B"/>
    <w:rsid w:val="00C45F34"/>
    <w:rsid w:val="00C473D5"/>
    <w:rsid w:val="00C47AF6"/>
    <w:rsid w:val="00C60D37"/>
    <w:rsid w:val="00C638F7"/>
    <w:rsid w:val="00C671BA"/>
    <w:rsid w:val="00C73F9B"/>
    <w:rsid w:val="00C94FBB"/>
    <w:rsid w:val="00CA0C60"/>
    <w:rsid w:val="00CB2DF3"/>
    <w:rsid w:val="00CC029A"/>
    <w:rsid w:val="00CC2543"/>
    <w:rsid w:val="00CE7658"/>
    <w:rsid w:val="00CF3278"/>
    <w:rsid w:val="00CF62AD"/>
    <w:rsid w:val="00D12A85"/>
    <w:rsid w:val="00D6308A"/>
    <w:rsid w:val="00DA008E"/>
    <w:rsid w:val="00DA332E"/>
    <w:rsid w:val="00DB3CE7"/>
    <w:rsid w:val="00E02572"/>
    <w:rsid w:val="00E57B22"/>
    <w:rsid w:val="00E71016"/>
    <w:rsid w:val="00E92487"/>
    <w:rsid w:val="00EB5BB3"/>
    <w:rsid w:val="00ED28FE"/>
    <w:rsid w:val="00F50DC3"/>
    <w:rsid w:val="00FC53AF"/>
    <w:rsid w:val="00FD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sinem2.demirgil</cp:lastModifiedBy>
  <cp:revision>7</cp:revision>
  <cp:lastPrinted>2017-03-07T11:18:00Z</cp:lastPrinted>
  <dcterms:created xsi:type="dcterms:W3CDTF">2017-03-29T10:40:00Z</dcterms:created>
  <dcterms:modified xsi:type="dcterms:W3CDTF">2017-03-29T10:54:00Z</dcterms:modified>
</cp:coreProperties>
</file>