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6"/>
        <w:gridCol w:w="1809"/>
        <w:gridCol w:w="426"/>
        <w:gridCol w:w="708"/>
        <w:gridCol w:w="6521"/>
      </w:tblGrid>
      <w:tr w:rsidR="003F6ECA" w:rsidRPr="00FC49DA" w:rsidTr="003F6ECA">
        <w:tc>
          <w:tcPr>
            <w:tcW w:w="9570" w:type="dxa"/>
            <w:gridSpan w:val="5"/>
            <w:hideMark/>
          </w:tcPr>
          <w:p w:rsidR="003F6ECA" w:rsidRPr="00FC49DA" w:rsidRDefault="003F6ECA" w:rsidP="00133BCA">
            <w:pPr>
              <w:jc w:val="both"/>
              <w:rPr>
                <w:bCs/>
              </w:rPr>
            </w:pPr>
            <w:r w:rsidRPr="00FC49DA">
              <w:br w:type="page"/>
            </w:r>
            <w:r w:rsidRPr="00FC49DA">
              <w:rPr>
                <w:bCs/>
              </w:rPr>
              <w:br w:type="page"/>
            </w:r>
            <w:proofErr w:type="spellStart"/>
            <w:r w:rsidRPr="00FC49DA">
              <w:rPr>
                <w:bCs/>
              </w:rPr>
              <w:t>Kuzey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Kıbrıs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Türk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Cumhuriyeti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Cumhuriyet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Meclisi’nin</w:t>
            </w:r>
            <w:proofErr w:type="spellEnd"/>
            <w:r w:rsidRPr="00FC49DA">
              <w:rPr>
                <w:bCs/>
              </w:rPr>
              <w:t xml:space="preserve"> 10 Nisan 2017 </w:t>
            </w:r>
            <w:proofErr w:type="spellStart"/>
            <w:r w:rsidRPr="00FC49DA">
              <w:rPr>
                <w:bCs/>
              </w:rPr>
              <w:t>tarihli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Ellialtıncı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Birleşiminde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Oybirliğiyle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kabul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olunan</w:t>
            </w:r>
            <w:proofErr w:type="spellEnd"/>
            <w:r w:rsidRPr="00FC49DA">
              <w:rPr>
                <w:bCs/>
              </w:rPr>
              <w:t xml:space="preserve"> “</w:t>
            </w:r>
            <w:bookmarkStart w:id="0" w:name="_GoBack"/>
            <w:bookmarkEnd w:id="0"/>
            <w:proofErr w:type="spellStart"/>
            <w:r w:rsidRPr="00FC49DA">
              <w:rPr>
                <w:bCs/>
              </w:rPr>
              <w:t>Sosyal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="00133BCA">
              <w:rPr>
                <w:bCs/>
              </w:rPr>
              <w:t>Güvenlik</w:t>
            </w:r>
            <w:proofErr w:type="spellEnd"/>
            <w:r w:rsidRPr="00FC49DA">
              <w:rPr>
                <w:bCs/>
              </w:rPr>
              <w:t xml:space="preserve"> (</w:t>
            </w:r>
            <w:proofErr w:type="spellStart"/>
            <w:r w:rsidRPr="00FC49DA">
              <w:rPr>
                <w:bCs/>
              </w:rPr>
              <w:t>Değişiklik</w:t>
            </w:r>
            <w:proofErr w:type="spellEnd"/>
            <w:r w:rsidRPr="00FC49DA">
              <w:rPr>
                <w:bCs/>
              </w:rPr>
              <w:t xml:space="preserve">) </w:t>
            </w:r>
            <w:proofErr w:type="spellStart"/>
            <w:r w:rsidRPr="00FC49DA">
              <w:rPr>
                <w:bCs/>
              </w:rPr>
              <w:t>Yasası</w:t>
            </w:r>
            <w:proofErr w:type="spellEnd"/>
            <w:r w:rsidRPr="00FC49DA">
              <w:rPr>
                <w:bCs/>
              </w:rPr>
              <w:t xml:space="preserve">” </w:t>
            </w:r>
            <w:proofErr w:type="spellStart"/>
            <w:r w:rsidRPr="00FC49DA">
              <w:rPr>
                <w:bCs/>
              </w:rPr>
              <w:t>Anayasanın</w:t>
            </w:r>
            <w:proofErr w:type="spellEnd"/>
            <w:r w:rsidRPr="00FC49DA">
              <w:rPr>
                <w:bCs/>
              </w:rPr>
              <w:t xml:space="preserve"> 94’üncü </w:t>
            </w:r>
            <w:proofErr w:type="spellStart"/>
            <w:r w:rsidRPr="00FC49DA">
              <w:rPr>
                <w:bCs/>
              </w:rPr>
              <w:t>maddesinin</w:t>
            </w:r>
            <w:proofErr w:type="spellEnd"/>
            <w:r w:rsidRPr="00FC49DA">
              <w:rPr>
                <w:bCs/>
              </w:rPr>
              <w:t xml:space="preserve"> (1)’</w:t>
            </w:r>
            <w:proofErr w:type="spellStart"/>
            <w:r w:rsidRPr="00FC49DA">
              <w:rPr>
                <w:bCs/>
              </w:rPr>
              <w:t>inci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fıkrası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gereğince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Kuzey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Kıbrıs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Türk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Cumhuriyeti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Cumhurbaşkanı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tarafından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Resmi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Gazete’de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yayımlanmak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suretiyle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ilan</w:t>
            </w:r>
            <w:proofErr w:type="spellEnd"/>
            <w:r w:rsidRPr="00FC49DA">
              <w:rPr>
                <w:bCs/>
              </w:rPr>
              <w:t xml:space="preserve"> </w:t>
            </w:r>
            <w:proofErr w:type="spellStart"/>
            <w:r w:rsidRPr="00FC49DA">
              <w:rPr>
                <w:bCs/>
              </w:rPr>
              <w:t>olunur</w:t>
            </w:r>
            <w:proofErr w:type="spellEnd"/>
            <w:r w:rsidRPr="00FC49DA">
              <w:rPr>
                <w:bCs/>
              </w:rPr>
              <w:t>.</w:t>
            </w:r>
          </w:p>
        </w:tc>
      </w:tr>
      <w:tr w:rsidR="003F6ECA" w:rsidRPr="00FC49DA" w:rsidTr="003F6ECA">
        <w:tc>
          <w:tcPr>
            <w:tcW w:w="9570" w:type="dxa"/>
            <w:gridSpan w:val="5"/>
          </w:tcPr>
          <w:p w:rsidR="003F6ECA" w:rsidRPr="00FC49DA" w:rsidRDefault="003F6ECA" w:rsidP="00585FE3">
            <w:pPr>
              <w:jc w:val="both"/>
            </w:pPr>
          </w:p>
        </w:tc>
      </w:tr>
      <w:tr w:rsidR="003F6ECA" w:rsidRPr="00FC49DA" w:rsidTr="003F6ECA">
        <w:tc>
          <w:tcPr>
            <w:tcW w:w="9570" w:type="dxa"/>
            <w:gridSpan w:val="5"/>
          </w:tcPr>
          <w:p w:rsidR="003F6ECA" w:rsidRPr="00FC49DA" w:rsidRDefault="003F6ECA" w:rsidP="00585FE3">
            <w:pPr>
              <w:jc w:val="both"/>
            </w:pPr>
          </w:p>
        </w:tc>
      </w:tr>
      <w:tr w:rsidR="003F6ECA" w:rsidRPr="00FC49DA" w:rsidTr="003F6ECA">
        <w:tc>
          <w:tcPr>
            <w:tcW w:w="9570" w:type="dxa"/>
            <w:gridSpan w:val="5"/>
          </w:tcPr>
          <w:p w:rsidR="003F6ECA" w:rsidRDefault="003F6ECA" w:rsidP="003F6ECA">
            <w:pPr>
              <w:jc w:val="both"/>
            </w:pPr>
            <w:r w:rsidRPr="002A5695">
              <w:t xml:space="preserve">                                          </w:t>
            </w:r>
            <w:r>
              <w:t xml:space="preserve">                         </w:t>
            </w:r>
            <w:proofErr w:type="spellStart"/>
            <w:r>
              <w:t>Sayı</w:t>
            </w:r>
            <w:proofErr w:type="spellEnd"/>
            <w:r>
              <w:t>: 31</w:t>
            </w:r>
            <w:r w:rsidRPr="002A5695">
              <w:t>/2017</w:t>
            </w:r>
          </w:p>
          <w:p w:rsidR="003F6ECA" w:rsidRPr="00FC49DA" w:rsidRDefault="003F6ECA" w:rsidP="00585FE3">
            <w:pPr>
              <w:jc w:val="both"/>
            </w:pPr>
          </w:p>
        </w:tc>
      </w:tr>
      <w:tr w:rsidR="00E77CA9" w:rsidRPr="00B30348" w:rsidTr="003F6ECA">
        <w:trPr>
          <w:gridBefore w:val="1"/>
          <w:wBefore w:w="106" w:type="dxa"/>
        </w:trPr>
        <w:tc>
          <w:tcPr>
            <w:tcW w:w="9464" w:type="dxa"/>
            <w:gridSpan w:val="4"/>
          </w:tcPr>
          <w:p w:rsidR="00E77CA9" w:rsidRPr="00B30348" w:rsidRDefault="00E77CA9" w:rsidP="00D648CD">
            <w:pPr>
              <w:pStyle w:val="Gvdemetni20"/>
              <w:shd w:val="clear" w:color="auto" w:fill="auto"/>
              <w:spacing w:after="0" w:line="240" w:lineRule="auto"/>
              <w:ind w:firstLine="0"/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SOSYAL GÜVENLİK (DEĞİŞİKLİK) YASASI</w:t>
            </w:r>
          </w:p>
        </w:tc>
      </w:tr>
      <w:tr w:rsidR="00CF63C2" w:rsidRPr="00B30348" w:rsidTr="003F6ECA">
        <w:trPr>
          <w:gridBefore w:val="1"/>
          <w:wBefore w:w="106" w:type="dxa"/>
          <w:trHeight w:val="196"/>
        </w:trPr>
        <w:tc>
          <w:tcPr>
            <w:tcW w:w="9464" w:type="dxa"/>
            <w:gridSpan w:val="4"/>
          </w:tcPr>
          <w:p w:rsidR="00CF63C2" w:rsidRPr="00B30348" w:rsidRDefault="00CF63C2" w:rsidP="00CF63C2">
            <w:pPr>
              <w:pStyle w:val="Gvdemetni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3C2" w:rsidRPr="00B30348" w:rsidTr="003F6ECA">
        <w:trPr>
          <w:gridBefore w:val="1"/>
          <w:wBefore w:w="106" w:type="dxa"/>
        </w:trPr>
        <w:tc>
          <w:tcPr>
            <w:tcW w:w="1809" w:type="dxa"/>
          </w:tcPr>
          <w:p w:rsidR="00CF63C2" w:rsidRPr="00B30348" w:rsidRDefault="00CF63C2" w:rsidP="00CF63C2">
            <w:pPr>
              <w:rPr>
                <w:lang w:val="tr-TR"/>
              </w:rPr>
            </w:pPr>
          </w:p>
        </w:tc>
        <w:tc>
          <w:tcPr>
            <w:tcW w:w="7655" w:type="dxa"/>
            <w:gridSpan w:val="3"/>
          </w:tcPr>
          <w:p w:rsidR="00CF63C2" w:rsidRPr="00B30348" w:rsidRDefault="00CF63C2" w:rsidP="00CF63C2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 </w:t>
            </w:r>
            <w:r w:rsidRPr="00CF63C2">
              <w:rPr>
                <w:lang w:val="tr-TR"/>
              </w:rPr>
              <w:t>Kuzey Kıbrıs Türk Cumhuriyeti Cumhuriyet Meclisi aşağıdaki Yasayı yapar:</w:t>
            </w:r>
          </w:p>
        </w:tc>
      </w:tr>
      <w:tr w:rsidR="00CF63C2" w:rsidRPr="00B30348" w:rsidTr="003F6ECA">
        <w:trPr>
          <w:gridBefore w:val="1"/>
          <w:wBefore w:w="106" w:type="dxa"/>
        </w:trPr>
        <w:tc>
          <w:tcPr>
            <w:tcW w:w="1809" w:type="dxa"/>
          </w:tcPr>
          <w:p w:rsidR="00CF63C2" w:rsidRPr="00B30348" w:rsidRDefault="00CF63C2" w:rsidP="00CF63C2">
            <w:pPr>
              <w:rPr>
                <w:lang w:val="tr-TR"/>
              </w:rPr>
            </w:pPr>
          </w:p>
        </w:tc>
        <w:tc>
          <w:tcPr>
            <w:tcW w:w="7655" w:type="dxa"/>
            <w:gridSpan w:val="3"/>
          </w:tcPr>
          <w:p w:rsidR="00CF63C2" w:rsidRDefault="00CF63C2" w:rsidP="00CF63C2">
            <w:pPr>
              <w:jc w:val="both"/>
              <w:rPr>
                <w:lang w:val="tr-TR"/>
              </w:rPr>
            </w:pPr>
          </w:p>
        </w:tc>
      </w:tr>
      <w:tr w:rsidR="00E77CA9" w:rsidRPr="00B30348" w:rsidTr="003F6ECA">
        <w:trPr>
          <w:gridBefore w:val="1"/>
          <w:wBefore w:w="106" w:type="dxa"/>
          <w:cantSplit/>
        </w:trPr>
        <w:tc>
          <w:tcPr>
            <w:tcW w:w="1809" w:type="dxa"/>
          </w:tcPr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>Kısa İsim 73/2007</w:t>
            </w:r>
          </w:p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 xml:space="preserve">   </w:t>
            </w:r>
            <w:r w:rsidR="00CF63C2">
              <w:rPr>
                <w:lang w:val="tr-TR"/>
              </w:rPr>
              <w:t xml:space="preserve">  </w:t>
            </w:r>
            <w:r w:rsidRPr="00B30348">
              <w:rPr>
                <w:lang w:val="tr-TR"/>
              </w:rPr>
              <w:t>80/2009</w:t>
            </w:r>
          </w:p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 xml:space="preserve">  </w:t>
            </w:r>
            <w:r w:rsidR="00CF63C2">
              <w:rPr>
                <w:lang w:val="tr-TR"/>
              </w:rPr>
              <w:t xml:space="preserve">    </w:t>
            </w:r>
            <w:r w:rsidRPr="00B30348">
              <w:rPr>
                <w:lang w:val="tr-TR"/>
              </w:rPr>
              <w:t xml:space="preserve"> 4/2010</w:t>
            </w:r>
          </w:p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 xml:space="preserve">  </w:t>
            </w:r>
            <w:r w:rsidR="00CF63C2">
              <w:rPr>
                <w:lang w:val="tr-TR"/>
              </w:rPr>
              <w:t xml:space="preserve">     </w:t>
            </w:r>
            <w:r w:rsidRPr="00B30348">
              <w:rPr>
                <w:lang w:val="tr-TR"/>
              </w:rPr>
              <w:t>5/2012</w:t>
            </w:r>
          </w:p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 xml:space="preserve">   </w:t>
            </w:r>
            <w:r w:rsidR="00CF63C2">
              <w:rPr>
                <w:lang w:val="tr-TR"/>
              </w:rPr>
              <w:t xml:space="preserve">  </w:t>
            </w:r>
            <w:r w:rsidRPr="00B30348">
              <w:rPr>
                <w:lang w:val="tr-TR"/>
              </w:rPr>
              <w:t>26/2013</w:t>
            </w:r>
          </w:p>
          <w:p w:rsidR="00E77CA9" w:rsidRPr="00B30348" w:rsidRDefault="00E77CA9" w:rsidP="00CF63C2">
            <w:pPr>
              <w:rPr>
                <w:lang w:val="tr-TR"/>
              </w:rPr>
            </w:pPr>
            <w:r w:rsidRPr="00B30348">
              <w:rPr>
                <w:lang w:val="tr-TR"/>
              </w:rPr>
              <w:t xml:space="preserve"> </w:t>
            </w:r>
            <w:r w:rsidR="00CF63C2">
              <w:rPr>
                <w:lang w:val="tr-TR"/>
              </w:rPr>
              <w:t xml:space="preserve">  </w:t>
            </w:r>
            <w:r w:rsidRPr="00B30348">
              <w:rPr>
                <w:lang w:val="tr-TR"/>
              </w:rPr>
              <w:t xml:space="preserve">  36/2015</w:t>
            </w:r>
          </w:p>
        </w:tc>
        <w:tc>
          <w:tcPr>
            <w:tcW w:w="7655" w:type="dxa"/>
            <w:gridSpan w:val="3"/>
          </w:tcPr>
          <w:p w:rsidR="00E77CA9" w:rsidRPr="00B30348" w:rsidRDefault="00E77CA9" w:rsidP="00CF63C2">
            <w:pPr>
              <w:pStyle w:val="Gvdemetni20"/>
              <w:shd w:val="clear" w:color="auto" w:fill="auto"/>
              <w:tabs>
                <w:tab w:val="left" w:pos="1696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1. Bu Yasa, Sosyal Güvenlik (Değişiklik) Yasası olarak isimlendirilir ve aşağıda “Esas Yasa” olarak anılan Sosyal Güvenlik Yasası ile birlikte okunur.</w:t>
            </w:r>
          </w:p>
          <w:p w:rsidR="00E77CA9" w:rsidRPr="00B30348" w:rsidRDefault="00E77CA9" w:rsidP="00CF63C2">
            <w:pPr>
              <w:pStyle w:val="Gvdemetni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A9" w:rsidRPr="00B30348" w:rsidRDefault="00E77CA9" w:rsidP="00CF63C2">
            <w:pPr>
              <w:pStyle w:val="Gvdemetni20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A9" w:rsidRPr="00B30348" w:rsidRDefault="00E77CA9" w:rsidP="00CF63C2">
            <w:pPr>
              <w:pStyle w:val="Gvdemetni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A9" w:rsidRPr="00B30348" w:rsidRDefault="00E77CA9" w:rsidP="00CF63C2">
            <w:pPr>
              <w:pStyle w:val="Gvdemetni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CA9" w:rsidRPr="00B30348" w:rsidRDefault="00E77CA9" w:rsidP="00CF63C2">
            <w:pPr>
              <w:jc w:val="both"/>
              <w:rPr>
                <w:lang w:val="tr-TR"/>
              </w:rPr>
            </w:pPr>
          </w:p>
        </w:tc>
      </w:tr>
      <w:tr w:rsidR="00E77CA9" w:rsidRPr="00B30348" w:rsidTr="003F6ECA">
        <w:trPr>
          <w:gridBefore w:val="1"/>
          <w:wBefore w:w="106" w:type="dxa"/>
          <w:cantSplit/>
        </w:trPr>
        <w:tc>
          <w:tcPr>
            <w:tcW w:w="1809" w:type="dxa"/>
          </w:tcPr>
          <w:p w:rsidR="00E77CA9" w:rsidRPr="00B30348" w:rsidRDefault="00E77CA9" w:rsidP="00CF63C2">
            <w:pPr>
              <w:rPr>
                <w:lang w:val="tr-TR"/>
              </w:rPr>
            </w:pPr>
          </w:p>
        </w:tc>
        <w:tc>
          <w:tcPr>
            <w:tcW w:w="426" w:type="dxa"/>
          </w:tcPr>
          <w:p w:rsidR="00E77CA9" w:rsidRPr="00B30348" w:rsidRDefault="00E77CA9" w:rsidP="00CF63C2">
            <w:pPr>
              <w:rPr>
                <w:lang w:val="tr-TR"/>
              </w:rPr>
            </w:pPr>
          </w:p>
        </w:tc>
        <w:tc>
          <w:tcPr>
            <w:tcW w:w="7229" w:type="dxa"/>
            <w:gridSpan w:val="2"/>
          </w:tcPr>
          <w:p w:rsidR="00E77CA9" w:rsidRPr="00B30348" w:rsidRDefault="00E77CA9" w:rsidP="00CF63C2">
            <w:pPr>
              <w:jc w:val="both"/>
              <w:rPr>
                <w:lang w:val="tr-TR"/>
              </w:rPr>
            </w:pPr>
          </w:p>
        </w:tc>
      </w:tr>
      <w:tr w:rsidR="00E77CA9" w:rsidRPr="00B30348" w:rsidTr="003F6ECA">
        <w:trPr>
          <w:gridBefore w:val="1"/>
          <w:wBefore w:w="106" w:type="dxa"/>
          <w:cantSplit/>
          <w:trHeight w:val="523"/>
        </w:trPr>
        <w:tc>
          <w:tcPr>
            <w:tcW w:w="1809" w:type="dxa"/>
          </w:tcPr>
          <w:p w:rsidR="00502F24" w:rsidRPr="00B30348" w:rsidRDefault="00502F24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Esas </w:t>
            </w:r>
            <w:proofErr w:type="gramStart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Yasanın  86’ncı</w:t>
            </w:r>
            <w:proofErr w:type="gramEnd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ab/>
              <w:t>aşağıdaki yeni (2)’</w:t>
            </w:r>
            <w:proofErr w:type="spellStart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 fıkra konmak suretiyle </w:t>
            </w:r>
            <w:proofErr w:type="spellStart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değiştirlir</w:t>
            </w:r>
            <w:proofErr w:type="spellEnd"/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CA9" w:rsidRPr="00B30348" w:rsidRDefault="00CF63C2" w:rsidP="00CF63C2">
            <w:pPr>
              <w:rPr>
                <w:lang w:val="tr-TR"/>
              </w:rPr>
            </w:pPr>
            <w:r>
              <w:rPr>
                <w:lang w:val="tr-TR"/>
              </w:rPr>
              <w:t>Maddesinin</w:t>
            </w:r>
          </w:p>
        </w:tc>
        <w:tc>
          <w:tcPr>
            <w:tcW w:w="7655" w:type="dxa"/>
            <w:gridSpan w:val="3"/>
          </w:tcPr>
          <w:p w:rsidR="00E77CA9" w:rsidRPr="00B30348" w:rsidRDefault="00E77CA9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both"/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>Esas Yasa, 86’ncı maddesinin (2)’</w:t>
            </w:r>
            <w:proofErr w:type="spellStart"/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 fıkrası kaldırılmak ve yerine </w:t>
            </w:r>
            <w:r w:rsidR="00CF63C2">
              <w:rPr>
                <w:rFonts w:ascii="Times New Roman" w:hAnsi="Times New Roman" w:cs="Times New Roman"/>
                <w:sz w:val="24"/>
                <w:szCs w:val="24"/>
              </w:rPr>
              <w:t>aşağıdaki yeni</w:t>
            </w:r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 (2)’</w:t>
            </w:r>
            <w:proofErr w:type="spellStart"/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>nci</w:t>
            </w:r>
            <w:proofErr w:type="spellEnd"/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 fıkra konmak suretiyle değiştir</w:t>
            </w:r>
            <w:r w:rsidR="00CF63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2F24" w:rsidRPr="00B30348">
              <w:rPr>
                <w:rFonts w:ascii="Times New Roman" w:hAnsi="Times New Roman" w:cs="Times New Roman"/>
                <w:sz w:val="24"/>
                <w:szCs w:val="24"/>
              </w:rPr>
              <w:t>lir:</w:t>
            </w:r>
          </w:p>
        </w:tc>
      </w:tr>
      <w:tr w:rsidR="00CF63C2" w:rsidRPr="00B30348" w:rsidTr="003F6ECA">
        <w:trPr>
          <w:gridBefore w:val="1"/>
          <w:wBefore w:w="106" w:type="dxa"/>
          <w:cantSplit/>
        </w:trPr>
        <w:tc>
          <w:tcPr>
            <w:tcW w:w="1809" w:type="dxa"/>
          </w:tcPr>
          <w:p w:rsidR="00CF63C2" w:rsidRPr="00B30348" w:rsidRDefault="00CF63C2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426" w:type="dxa"/>
          </w:tcPr>
          <w:p w:rsidR="00CF63C2" w:rsidRPr="00B30348" w:rsidRDefault="00CF63C2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F63C2" w:rsidRPr="00B30348" w:rsidRDefault="00CF63C2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“(2)</w:t>
            </w:r>
          </w:p>
        </w:tc>
        <w:tc>
          <w:tcPr>
            <w:tcW w:w="6521" w:type="dxa"/>
          </w:tcPr>
          <w:p w:rsidR="00CF63C2" w:rsidRPr="00CF63C2" w:rsidRDefault="00CF63C2" w:rsidP="00CF63C2">
            <w:pPr>
              <w:pStyle w:val="Gvdemetni20"/>
              <w:tabs>
                <w:tab w:val="left" w:pos="257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Bu Yasanın 5’inci maddesinin (5)’inci ve (6)’</w:t>
            </w:r>
            <w:proofErr w:type="spellStart"/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 fıkralarında belirtilen sigortalılar, prim borçlarını ilgili ayı takip eden </w:t>
            </w:r>
            <w:proofErr w:type="gramStart"/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ayın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  <w:r w:rsidR="00545841">
              <w:rPr>
                <w:rFonts w:ascii="Times New Roman" w:hAnsi="Times New Roman" w:cs="Times New Roman"/>
                <w:sz w:val="24"/>
                <w:szCs w:val="24"/>
              </w:rPr>
              <w:t xml:space="preserve"> (yirmi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sine</w:t>
            </w:r>
            <w:r w:rsidR="005458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 kadar (yirmisi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hil) </w:t>
            </w:r>
            <w:r w:rsidR="003B695E">
              <w:rPr>
                <w:rFonts w:ascii="Times New Roman" w:hAnsi="Times New Roman" w:cs="Times New Roman"/>
                <w:sz w:val="24"/>
                <w:szCs w:val="24"/>
              </w:rPr>
              <w:t>Kurum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a ödemek zorundadır</w:t>
            </w:r>
            <w:r w:rsidR="002C7936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3C2" w:rsidRPr="00B30348" w:rsidRDefault="00CF63C2" w:rsidP="003B695E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          Ancak tarım, orman veya hayvancılık kesimlerinde kendi nam ve hesabına bağımsız veya işveren olarak çalışanların kendilerine ait primlerin ödeme süreleri ile ödeme şekilleri, gerekli görülmesi halinde Bakanlıkça hazırlanıp</w:t>
            </w:r>
            <w:r w:rsidR="00B94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 Bakanlar Kurulunca onaylanacak ve Resmi </w:t>
            </w:r>
            <w:proofErr w:type="spellStart"/>
            <w:r w:rsidRPr="00CF63C2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 yayımlanacak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CF63C2">
              <w:rPr>
                <w:rFonts w:ascii="Times New Roman" w:hAnsi="Times New Roman" w:cs="Times New Roman"/>
                <w:sz w:val="24"/>
                <w:szCs w:val="24"/>
              </w:rPr>
              <w:t xml:space="preserve">üzükle </w:t>
            </w:r>
            <w:r w:rsidRPr="003B695E">
              <w:rPr>
                <w:rFonts w:ascii="Times New Roman" w:hAnsi="Times New Roman" w:cs="Times New Roman"/>
                <w:sz w:val="24"/>
                <w:szCs w:val="24"/>
              </w:rPr>
              <w:t>saptan</w:t>
            </w:r>
            <w:r w:rsidR="003B695E" w:rsidRPr="003B695E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3B695E">
              <w:rPr>
                <w:rFonts w:ascii="Times New Roman" w:hAnsi="Times New Roman" w:cs="Times New Roman"/>
                <w:sz w:val="24"/>
                <w:szCs w:val="24"/>
              </w:rPr>
              <w:t>r.”</w:t>
            </w:r>
          </w:p>
        </w:tc>
      </w:tr>
      <w:tr w:rsidR="00502F24" w:rsidRPr="00B30348" w:rsidTr="003F6ECA">
        <w:trPr>
          <w:gridBefore w:val="1"/>
          <w:wBefore w:w="106" w:type="dxa"/>
          <w:cantSplit/>
        </w:trPr>
        <w:tc>
          <w:tcPr>
            <w:tcW w:w="1809" w:type="dxa"/>
          </w:tcPr>
          <w:p w:rsidR="00502F24" w:rsidRPr="00B30348" w:rsidRDefault="00502F24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502F24" w:rsidRPr="00B30348" w:rsidRDefault="00502F24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F24" w:rsidRPr="00B30348" w:rsidTr="003F6ECA">
        <w:trPr>
          <w:gridBefore w:val="1"/>
          <w:wBefore w:w="106" w:type="dxa"/>
          <w:cantSplit/>
        </w:trPr>
        <w:tc>
          <w:tcPr>
            <w:tcW w:w="1809" w:type="dxa"/>
          </w:tcPr>
          <w:p w:rsidR="00502F24" w:rsidRPr="00B30348" w:rsidRDefault="00502F24" w:rsidP="00CF63C2">
            <w:pPr>
              <w:pStyle w:val="Gvdemetni20"/>
              <w:shd w:val="clear" w:color="auto" w:fill="auto"/>
              <w:tabs>
                <w:tab w:val="left" w:pos="2578"/>
              </w:tabs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655" w:type="dxa"/>
            <w:gridSpan w:val="3"/>
          </w:tcPr>
          <w:p w:rsidR="00502F24" w:rsidRPr="00B30348" w:rsidRDefault="00502F24" w:rsidP="00C132F2">
            <w:pPr>
              <w:pStyle w:val="Gvdemetni20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 xml:space="preserve">3. Bu Yasa, </w:t>
            </w:r>
            <w:r w:rsidR="00C132F2">
              <w:rPr>
                <w:rFonts w:ascii="Times New Roman" w:hAnsi="Times New Roman" w:cs="Times New Roman"/>
                <w:sz w:val="24"/>
                <w:szCs w:val="24"/>
              </w:rPr>
              <w:t xml:space="preserve">1 Temmuz 2017 tarihinden </w:t>
            </w:r>
            <w:r w:rsidRPr="00B30348">
              <w:rPr>
                <w:rFonts w:ascii="Times New Roman" w:hAnsi="Times New Roman" w:cs="Times New Roman"/>
                <w:sz w:val="24"/>
                <w:szCs w:val="24"/>
              </w:rPr>
              <w:t>başlayarak yürürlüğe girer.</w:t>
            </w:r>
          </w:p>
        </w:tc>
      </w:tr>
    </w:tbl>
    <w:p w:rsidR="00A717E5" w:rsidRPr="00B30348" w:rsidRDefault="00A717E5" w:rsidP="00CF63C2"/>
    <w:sectPr w:rsidR="00A717E5" w:rsidRPr="00B303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CB"/>
    <w:rsid w:val="000B1634"/>
    <w:rsid w:val="00133BCA"/>
    <w:rsid w:val="0016310F"/>
    <w:rsid w:val="002C7936"/>
    <w:rsid w:val="00315ECB"/>
    <w:rsid w:val="003B695E"/>
    <w:rsid w:val="003F6ECA"/>
    <w:rsid w:val="00451A60"/>
    <w:rsid w:val="00502F24"/>
    <w:rsid w:val="00545841"/>
    <w:rsid w:val="005508EB"/>
    <w:rsid w:val="007D0B37"/>
    <w:rsid w:val="00A717E5"/>
    <w:rsid w:val="00AD0E36"/>
    <w:rsid w:val="00AE3805"/>
    <w:rsid w:val="00B30348"/>
    <w:rsid w:val="00B94FE7"/>
    <w:rsid w:val="00BA138A"/>
    <w:rsid w:val="00C132F2"/>
    <w:rsid w:val="00CC35BA"/>
    <w:rsid w:val="00CF63C2"/>
    <w:rsid w:val="00D648CD"/>
    <w:rsid w:val="00D80907"/>
    <w:rsid w:val="00E71215"/>
    <w:rsid w:val="00E77CA9"/>
    <w:rsid w:val="00E81763"/>
    <w:rsid w:val="00F9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rsid w:val="00E77CA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77CA9"/>
    <w:pPr>
      <w:widowControl w:val="0"/>
      <w:shd w:val="clear" w:color="auto" w:fill="FFFFFF"/>
      <w:spacing w:after="240" w:line="252" w:lineRule="exact"/>
      <w:ind w:hanging="580"/>
      <w:jc w:val="center"/>
    </w:pPr>
    <w:rPr>
      <w:rFonts w:ascii="Arial" w:eastAsia="Arial" w:hAnsi="Arial" w:cs="Arial"/>
      <w:sz w:val="21"/>
      <w:szCs w:val="21"/>
      <w:lang w:val="tr-TR"/>
    </w:rPr>
  </w:style>
  <w:style w:type="character" w:customStyle="1" w:styleId="Gvdemetni3">
    <w:name w:val="Gövde metni (3)_"/>
    <w:basedOn w:val="DefaultParagraphFont"/>
    <w:link w:val="Gvdemetni30"/>
    <w:rsid w:val="00AD0E3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D0E36"/>
    <w:pPr>
      <w:widowControl w:val="0"/>
      <w:shd w:val="clear" w:color="auto" w:fill="FFFFFF"/>
      <w:spacing w:line="511" w:lineRule="exact"/>
      <w:jc w:val="center"/>
    </w:pPr>
    <w:rPr>
      <w:rFonts w:ascii="Arial" w:eastAsia="Arial" w:hAnsi="Arial" w:cs="Arial"/>
      <w:b/>
      <w:bCs/>
      <w:sz w:val="21"/>
      <w:szCs w:val="21"/>
      <w:lang w:val="tr-TR"/>
    </w:rPr>
  </w:style>
  <w:style w:type="character" w:customStyle="1" w:styleId="Gvdemetni5">
    <w:name w:val="Gövde metni (5)_"/>
    <w:basedOn w:val="DefaultParagraphFont"/>
    <w:link w:val="Gvdemetni50"/>
    <w:rsid w:val="00AD0E36"/>
    <w:rPr>
      <w:rFonts w:ascii="Arial" w:eastAsia="Arial" w:hAnsi="Arial" w:cs="Arial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AD0E36"/>
    <w:pPr>
      <w:widowControl w:val="0"/>
      <w:shd w:val="clear" w:color="auto" w:fill="FFFFFF"/>
      <w:spacing w:after="180" w:line="274" w:lineRule="exact"/>
      <w:jc w:val="both"/>
    </w:pPr>
    <w:rPr>
      <w:rFonts w:ascii="Arial" w:eastAsia="Arial" w:hAnsi="Arial" w:cs="Arial"/>
      <w:sz w:val="22"/>
      <w:szCs w:val="2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C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vdemetni2">
    <w:name w:val="Gövde metni (2)_"/>
    <w:basedOn w:val="DefaultParagraphFont"/>
    <w:link w:val="Gvdemetni20"/>
    <w:rsid w:val="00E77CA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E77CA9"/>
    <w:pPr>
      <w:widowControl w:val="0"/>
      <w:shd w:val="clear" w:color="auto" w:fill="FFFFFF"/>
      <w:spacing w:after="240" w:line="252" w:lineRule="exact"/>
      <w:ind w:hanging="580"/>
      <w:jc w:val="center"/>
    </w:pPr>
    <w:rPr>
      <w:rFonts w:ascii="Arial" w:eastAsia="Arial" w:hAnsi="Arial" w:cs="Arial"/>
      <w:sz w:val="21"/>
      <w:szCs w:val="21"/>
      <w:lang w:val="tr-TR"/>
    </w:rPr>
  </w:style>
  <w:style w:type="character" w:customStyle="1" w:styleId="Gvdemetni3">
    <w:name w:val="Gövde metni (3)_"/>
    <w:basedOn w:val="DefaultParagraphFont"/>
    <w:link w:val="Gvdemetni30"/>
    <w:rsid w:val="00AD0E36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AD0E36"/>
    <w:pPr>
      <w:widowControl w:val="0"/>
      <w:shd w:val="clear" w:color="auto" w:fill="FFFFFF"/>
      <w:spacing w:line="511" w:lineRule="exact"/>
      <w:jc w:val="center"/>
    </w:pPr>
    <w:rPr>
      <w:rFonts w:ascii="Arial" w:eastAsia="Arial" w:hAnsi="Arial" w:cs="Arial"/>
      <w:b/>
      <w:bCs/>
      <w:sz w:val="21"/>
      <w:szCs w:val="21"/>
      <w:lang w:val="tr-TR"/>
    </w:rPr>
  </w:style>
  <w:style w:type="character" w:customStyle="1" w:styleId="Gvdemetni5">
    <w:name w:val="Gövde metni (5)_"/>
    <w:basedOn w:val="DefaultParagraphFont"/>
    <w:link w:val="Gvdemetni50"/>
    <w:rsid w:val="00AD0E36"/>
    <w:rPr>
      <w:rFonts w:ascii="Arial" w:eastAsia="Arial" w:hAnsi="Arial" w:cs="Arial"/>
      <w:shd w:val="clear" w:color="auto" w:fill="FFFFFF"/>
    </w:rPr>
  </w:style>
  <w:style w:type="paragraph" w:customStyle="1" w:styleId="Gvdemetni50">
    <w:name w:val="Gövde metni (5)"/>
    <w:basedOn w:val="Normal"/>
    <w:link w:val="Gvdemetni5"/>
    <w:rsid w:val="00AD0E36"/>
    <w:pPr>
      <w:widowControl w:val="0"/>
      <w:shd w:val="clear" w:color="auto" w:fill="FFFFFF"/>
      <w:spacing w:after="180" w:line="274" w:lineRule="exact"/>
      <w:jc w:val="both"/>
    </w:pPr>
    <w:rPr>
      <w:rFonts w:ascii="Arial" w:eastAsia="Arial" w:hAnsi="Arial" w:cs="Arial"/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argun</dc:creator>
  <cp:lastModifiedBy>sinem2.demirgil</cp:lastModifiedBy>
  <cp:revision>4</cp:revision>
  <cp:lastPrinted>2017-03-28T08:35:00Z</cp:lastPrinted>
  <dcterms:created xsi:type="dcterms:W3CDTF">2017-05-04T07:35:00Z</dcterms:created>
  <dcterms:modified xsi:type="dcterms:W3CDTF">2017-05-04T07:38:00Z</dcterms:modified>
</cp:coreProperties>
</file>