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F1" w:rsidRPr="00E715BD" w:rsidRDefault="006C61F1" w:rsidP="006C61F1">
      <w:pPr>
        <w:tabs>
          <w:tab w:val="left" w:pos="177"/>
          <w:tab w:val="left" w:pos="794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lang w:val="tr-TR" w:eastAsia="tr-TR"/>
        </w:rPr>
      </w:pPr>
      <w:r w:rsidRPr="00E715BD">
        <w:rPr>
          <w:lang w:val="tr-TR" w:eastAsia="tr-TR"/>
        </w:rPr>
        <w:t>Kuzey Kıbrıs Türk Cumh</w:t>
      </w:r>
      <w:r>
        <w:rPr>
          <w:lang w:val="tr-TR" w:eastAsia="tr-TR"/>
        </w:rPr>
        <w:t>uriyeti Cumhuriyet Meclisi’nin 5</w:t>
      </w:r>
      <w:r w:rsidRPr="00E715BD">
        <w:rPr>
          <w:lang w:val="tr-TR" w:eastAsia="tr-TR"/>
        </w:rPr>
        <w:t xml:space="preserve"> </w:t>
      </w:r>
      <w:r>
        <w:rPr>
          <w:lang w:val="tr-TR" w:eastAsia="tr-TR"/>
        </w:rPr>
        <w:t>Şubat 2024</w:t>
      </w:r>
      <w:r w:rsidRPr="00E715BD">
        <w:rPr>
          <w:lang w:val="tr-TR" w:eastAsia="tr-TR"/>
        </w:rPr>
        <w:t xml:space="preserve"> tarihli </w:t>
      </w:r>
      <w:r>
        <w:rPr>
          <w:lang w:val="tr-TR" w:eastAsia="tr-TR"/>
        </w:rPr>
        <w:t xml:space="preserve">Otuzikinci </w:t>
      </w:r>
      <w:r w:rsidRPr="00E715BD">
        <w:rPr>
          <w:lang w:val="tr-TR" w:eastAsia="tr-TR"/>
        </w:rPr>
        <w:t>Birleşiminde Oybirliğiyle kabul olunan “</w:t>
      </w:r>
      <w:r>
        <w:rPr>
          <w:lang w:val="tr-TR" w:eastAsia="tr-TR"/>
        </w:rPr>
        <w:t xml:space="preserve">Ticaret Markaları </w:t>
      </w:r>
      <w:r w:rsidRPr="00D32CBA">
        <w:rPr>
          <w:lang w:val="tr-TR" w:eastAsia="tr-TR"/>
        </w:rPr>
        <w:t>(Değişiklik) Yasası</w:t>
      </w:r>
      <w:r w:rsidRPr="00E715BD">
        <w:rPr>
          <w:lang w:val="tr-TR" w:eastAsia="tr-TR"/>
        </w:rPr>
        <w:t>” Anayasanın 94’üncü maddesinin (1)’inci fıkrası gereğince Kuzey Kıbrıs Türk Cumhuriyeti Cumhurbaşkanı tarafından Resmi Gazete’de yayımlanmak suretiyle ilan olunur.</w:t>
      </w:r>
    </w:p>
    <w:p w:rsidR="006C61F1" w:rsidRDefault="006C61F1" w:rsidP="00B06877">
      <w:pPr>
        <w:ind w:left="720" w:firstLine="720"/>
        <w:jc w:val="center"/>
      </w:pPr>
    </w:p>
    <w:p w:rsidR="006C61F1" w:rsidRDefault="006C61F1" w:rsidP="00B06877">
      <w:pPr>
        <w:ind w:left="720" w:firstLine="720"/>
        <w:jc w:val="center"/>
      </w:pPr>
    </w:p>
    <w:p w:rsidR="00B06877" w:rsidRDefault="00B06877" w:rsidP="00B06877">
      <w:pPr>
        <w:ind w:left="720" w:firstLine="720"/>
        <w:jc w:val="center"/>
      </w:pPr>
      <w:r>
        <w:t>TİCA</w:t>
      </w:r>
      <w:r w:rsidR="00CA502E">
        <w:t>RET MARKALARI (DEĞİŞİKLİK) YASASI</w:t>
      </w:r>
    </w:p>
    <w:p w:rsidR="00B06877" w:rsidRDefault="00B06877" w:rsidP="00B06877"/>
    <w:p w:rsidR="00B06877" w:rsidRDefault="00B06877" w:rsidP="00B06877"/>
    <w:tbl>
      <w:tblPr>
        <w:tblW w:w="97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26"/>
        <w:gridCol w:w="522"/>
        <w:gridCol w:w="587"/>
        <w:gridCol w:w="284"/>
        <w:gridCol w:w="141"/>
        <w:gridCol w:w="426"/>
        <w:gridCol w:w="567"/>
        <w:gridCol w:w="5472"/>
      </w:tblGrid>
      <w:tr w:rsidR="00B06877" w:rsidTr="00AD3DA6">
        <w:tc>
          <w:tcPr>
            <w:tcW w:w="1726" w:type="dxa"/>
          </w:tcPr>
          <w:p w:rsidR="00B06877" w:rsidRPr="0071448D" w:rsidRDefault="00B06877" w:rsidP="00AD3DA6">
            <w:pPr>
              <w:jc w:val="both"/>
            </w:pPr>
          </w:p>
        </w:tc>
        <w:tc>
          <w:tcPr>
            <w:tcW w:w="7999" w:type="dxa"/>
            <w:gridSpan w:val="7"/>
          </w:tcPr>
          <w:p w:rsidR="00B06877" w:rsidRPr="0071448D" w:rsidRDefault="00B06877" w:rsidP="00AD3DA6">
            <w:pPr>
              <w:jc w:val="both"/>
              <w:rPr>
                <w:color w:val="000000"/>
              </w:rPr>
            </w:pPr>
            <w:r w:rsidRPr="0071448D">
              <w:rPr>
                <w:color w:val="000000"/>
              </w:rPr>
              <w:t xml:space="preserve">      </w:t>
            </w:r>
            <w:r>
              <w:rPr>
                <w:color w:val="000000"/>
              </w:rPr>
              <w:t xml:space="preserve">  </w:t>
            </w:r>
            <w:proofErr w:type="spellStart"/>
            <w:r w:rsidRPr="0071448D">
              <w:rPr>
                <w:color w:val="000000"/>
              </w:rPr>
              <w:t>Kuzey</w:t>
            </w:r>
            <w:proofErr w:type="spellEnd"/>
            <w:r w:rsidRPr="0071448D">
              <w:rPr>
                <w:color w:val="000000"/>
              </w:rPr>
              <w:t xml:space="preserve"> </w:t>
            </w:r>
            <w:proofErr w:type="spellStart"/>
            <w:r w:rsidRPr="0071448D">
              <w:rPr>
                <w:color w:val="000000"/>
              </w:rPr>
              <w:t>Kıbrıs</w:t>
            </w:r>
            <w:proofErr w:type="spellEnd"/>
            <w:r w:rsidRPr="0071448D">
              <w:rPr>
                <w:color w:val="000000"/>
              </w:rPr>
              <w:t xml:space="preserve"> </w:t>
            </w:r>
            <w:proofErr w:type="spellStart"/>
            <w:r w:rsidRPr="0071448D">
              <w:rPr>
                <w:color w:val="000000"/>
              </w:rPr>
              <w:t>Türk</w:t>
            </w:r>
            <w:proofErr w:type="spellEnd"/>
            <w:r w:rsidRPr="0071448D">
              <w:rPr>
                <w:color w:val="000000"/>
              </w:rPr>
              <w:t xml:space="preserve"> </w:t>
            </w:r>
            <w:proofErr w:type="spellStart"/>
            <w:r w:rsidRPr="0071448D">
              <w:rPr>
                <w:color w:val="000000"/>
              </w:rPr>
              <w:t>Cumhuriyeti</w:t>
            </w:r>
            <w:proofErr w:type="spellEnd"/>
            <w:r w:rsidRPr="0071448D">
              <w:rPr>
                <w:color w:val="000000"/>
              </w:rPr>
              <w:t xml:space="preserve"> </w:t>
            </w:r>
            <w:proofErr w:type="spellStart"/>
            <w:r w:rsidRPr="0071448D">
              <w:rPr>
                <w:color w:val="000000"/>
              </w:rPr>
              <w:t>Cumhuriyet</w:t>
            </w:r>
            <w:proofErr w:type="spellEnd"/>
            <w:r w:rsidRPr="0071448D">
              <w:rPr>
                <w:color w:val="000000"/>
              </w:rPr>
              <w:t xml:space="preserve"> </w:t>
            </w:r>
            <w:proofErr w:type="spellStart"/>
            <w:r w:rsidRPr="0071448D">
              <w:rPr>
                <w:color w:val="000000"/>
              </w:rPr>
              <w:t>Meclisi</w:t>
            </w:r>
            <w:proofErr w:type="spellEnd"/>
            <w:r w:rsidRPr="0071448D">
              <w:rPr>
                <w:color w:val="000000"/>
              </w:rPr>
              <w:t xml:space="preserve"> </w:t>
            </w:r>
            <w:proofErr w:type="spellStart"/>
            <w:r w:rsidRPr="0071448D">
              <w:rPr>
                <w:color w:val="000000"/>
              </w:rPr>
              <w:t>aşağıdaki</w:t>
            </w:r>
            <w:proofErr w:type="spellEnd"/>
            <w:r w:rsidRPr="0071448D">
              <w:rPr>
                <w:color w:val="000000"/>
              </w:rPr>
              <w:t xml:space="preserve"> </w:t>
            </w:r>
            <w:proofErr w:type="spellStart"/>
            <w:r w:rsidRPr="0071448D">
              <w:rPr>
                <w:color w:val="000000"/>
              </w:rPr>
              <w:t>Yasayı</w:t>
            </w:r>
            <w:proofErr w:type="spellEnd"/>
            <w:r w:rsidRPr="0071448D">
              <w:rPr>
                <w:color w:val="000000"/>
              </w:rPr>
              <w:t xml:space="preserve"> </w:t>
            </w:r>
            <w:proofErr w:type="spellStart"/>
            <w:r w:rsidRPr="0071448D">
              <w:rPr>
                <w:color w:val="000000"/>
              </w:rPr>
              <w:t>yapar</w:t>
            </w:r>
            <w:proofErr w:type="spellEnd"/>
            <w:r w:rsidRPr="0071448D">
              <w:rPr>
                <w:color w:val="000000"/>
              </w:rPr>
              <w:t>:</w:t>
            </w:r>
          </w:p>
          <w:p w:rsidR="00B06877" w:rsidRPr="0071448D" w:rsidRDefault="00B06877" w:rsidP="00AD3DA6">
            <w:pPr>
              <w:jc w:val="both"/>
            </w:pPr>
          </w:p>
        </w:tc>
      </w:tr>
      <w:tr w:rsidR="00B06877" w:rsidTr="00AD3DA6">
        <w:tc>
          <w:tcPr>
            <w:tcW w:w="1726" w:type="dxa"/>
          </w:tcPr>
          <w:p w:rsidR="00B06877" w:rsidRDefault="00B06877" w:rsidP="00AD3DA6"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İsim</w:t>
            </w:r>
            <w:proofErr w:type="spellEnd"/>
          </w:p>
          <w:p w:rsidR="00B06877" w:rsidRDefault="00B06877" w:rsidP="00AD3DA6">
            <w:r>
              <w:t>Fasıl 268</w:t>
            </w:r>
          </w:p>
          <w:p w:rsidR="00B06877" w:rsidRDefault="00B06877" w:rsidP="00AD3DA6">
            <w:r>
              <w:t xml:space="preserve">      63/1962</w:t>
            </w:r>
          </w:p>
          <w:p w:rsidR="00B06877" w:rsidRDefault="00B06877" w:rsidP="00AD3DA6">
            <w:r>
              <w:t xml:space="preserve">        8/1994</w:t>
            </w:r>
          </w:p>
          <w:p w:rsidR="00B06877" w:rsidRDefault="00B06877" w:rsidP="00AD3DA6">
            <w:r>
              <w:t xml:space="preserve">      28/1995</w:t>
            </w:r>
          </w:p>
          <w:p w:rsidR="00B06877" w:rsidRDefault="00B06877" w:rsidP="00AD3DA6"/>
        </w:tc>
        <w:tc>
          <w:tcPr>
            <w:tcW w:w="7999" w:type="dxa"/>
            <w:gridSpan w:val="7"/>
          </w:tcPr>
          <w:p w:rsidR="00B06877" w:rsidRDefault="00B06877" w:rsidP="00AD3DA6">
            <w:pPr>
              <w:jc w:val="both"/>
            </w:pPr>
            <w:r>
              <w:t xml:space="preserve">1. Bu </w:t>
            </w:r>
            <w:proofErr w:type="spellStart"/>
            <w:r>
              <w:t>Yasa</w:t>
            </w:r>
            <w:proofErr w:type="spellEnd"/>
            <w:r>
              <w:t xml:space="preserve">,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Markaları</w:t>
            </w:r>
            <w:proofErr w:type="spellEnd"/>
            <w:r>
              <w:t xml:space="preserve"> (</w:t>
            </w:r>
            <w:proofErr w:type="spellStart"/>
            <w:r>
              <w:t>Değişiklik</w:t>
            </w:r>
            <w:proofErr w:type="spellEnd"/>
            <w:r>
              <w:t xml:space="preserve">)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isimlendirilir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aşağıda</w:t>
            </w:r>
            <w:proofErr w:type="spellEnd"/>
            <w:r>
              <w:t xml:space="preserve"> “</w:t>
            </w:r>
            <w:proofErr w:type="spellStart"/>
            <w:r>
              <w:t>Esas</w:t>
            </w:r>
            <w:proofErr w:type="spellEnd"/>
            <w:r>
              <w:t xml:space="preserve"> </w:t>
            </w:r>
            <w:proofErr w:type="spellStart"/>
            <w:r>
              <w:t>Yasa</w:t>
            </w:r>
            <w:proofErr w:type="spellEnd"/>
            <w:r>
              <w:t xml:space="preserve">”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anılan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Markaları</w:t>
            </w:r>
            <w:proofErr w:type="spellEnd"/>
            <w:r>
              <w:t xml:space="preserve"> </w:t>
            </w:r>
            <w:proofErr w:type="spellStart"/>
            <w:r>
              <w:t>Yasası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okunur</w:t>
            </w:r>
            <w:proofErr w:type="spellEnd"/>
            <w:r>
              <w:t>.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7999" w:type="dxa"/>
            <w:gridSpan w:val="7"/>
          </w:tcPr>
          <w:p w:rsidR="00B06877" w:rsidRDefault="00B06877" w:rsidP="00AD3DA6"/>
        </w:tc>
      </w:tr>
      <w:tr w:rsidR="00B06877" w:rsidTr="00AD3DA6">
        <w:tc>
          <w:tcPr>
            <w:tcW w:w="1726" w:type="dxa"/>
          </w:tcPr>
          <w:p w:rsidR="00B06877" w:rsidRDefault="00B06877" w:rsidP="00AD3DA6">
            <w:proofErr w:type="spellStart"/>
            <w:r>
              <w:t>Esas</w:t>
            </w:r>
            <w:proofErr w:type="spellEnd"/>
            <w:r>
              <w:t xml:space="preserve"> </w:t>
            </w:r>
            <w:proofErr w:type="spellStart"/>
            <w:r>
              <w:t>Yasanın</w:t>
            </w:r>
            <w:proofErr w:type="spellEnd"/>
            <w:r>
              <w:t xml:space="preserve"> 15’inci </w:t>
            </w:r>
            <w:proofErr w:type="spellStart"/>
            <w:r>
              <w:t>Maddesinin</w:t>
            </w:r>
            <w:proofErr w:type="spellEnd"/>
          </w:p>
        </w:tc>
        <w:tc>
          <w:tcPr>
            <w:tcW w:w="522" w:type="dxa"/>
          </w:tcPr>
          <w:p w:rsidR="00B06877" w:rsidRDefault="00B06877" w:rsidP="00AD3DA6">
            <w:r>
              <w:t>2.</w:t>
            </w:r>
          </w:p>
        </w:tc>
        <w:tc>
          <w:tcPr>
            <w:tcW w:w="587" w:type="dxa"/>
          </w:tcPr>
          <w:p w:rsidR="00B06877" w:rsidRDefault="00B06877" w:rsidP="00AD3DA6">
            <w:pPr>
              <w:pStyle w:val="BodyText2"/>
            </w:pPr>
            <w:r>
              <w:t xml:space="preserve">(1) </w:t>
            </w:r>
          </w:p>
          <w:p w:rsidR="00B06877" w:rsidRDefault="00B06877" w:rsidP="00AD3DA6">
            <w:pPr>
              <w:pStyle w:val="BodyText2"/>
            </w:pPr>
          </w:p>
        </w:tc>
        <w:tc>
          <w:tcPr>
            <w:tcW w:w="6890" w:type="dxa"/>
            <w:gridSpan w:val="5"/>
          </w:tcPr>
          <w:p w:rsidR="00B06877" w:rsidRDefault="00B06877" w:rsidP="00AD3DA6">
            <w:pPr>
              <w:pStyle w:val="BodyText2"/>
              <w:rPr>
                <w:lang w:val="en-US"/>
              </w:rPr>
            </w:pPr>
            <w:r>
              <w:t>Esas Yasa, 15’inci maddesinin yan başlığı kaldırılmak ve yerine aşağıdaki yeni yan başlık konmak suretiyle değiştirilir: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>
            <w:proofErr w:type="spellStart"/>
            <w:r>
              <w:t>Değiştirilmesi</w:t>
            </w:r>
            <w:proofErr w:type="spellEnd"/>
          </w:p>
        </w:tc>
        <w:tc>
          <w:tcPr>
            <w:tcW w:w="522" w:type="dxa"/>
          </w:tcPr>
          <w:p w:rsidR="00B06877" w:rsidRDefault="00B06877" w:rsidP="00AD3DA6"/>
        </w:tc>
        <w:tc>
          <w:tcPr>
            <w:tcW w:w="587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284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6606" w:type="dxa"/>
            <w:gridSpan w:val="4"/>
          </w:tcPr>
          <w:p w:rsidR="00B06877" w:rsidRDefault="00B06877" w:rsidP="00AD3DA6">
            <w:pPr>
              <w:pStyle w:val="BodyText2"/>
            </w:pPr>
            <w:r>
              <w:t xml:space="preserve">“A Kısmına Tescilin </w:t>
            </w:r>
          </w:p>
          <w:p w:rsidR="00B06877" w:rsidRDefault="00B06877" w:rsidP="00AD3DA6">
            <w:pPr>
              <w:pStyle w:val="BodyText2"/>
            </w:pPr>
            <w:r>
              <w:t xml:space="preserve">Geçerliliğinin </w:t>
            </w:r>
          </w:p>
          <w:p w:rsidR="00B06877" w:rsidRDefault="00B06877" w:rsidP="00AD3DA6">
            <w:pPr>
              <w:pStyle w:val="BodyText2"/>
            </w:pPr>
            <w:r>
              <w:t xml:space="preserve">Kesinleşmesi” 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587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6890" w:type="dxa"/>
            <w:gridSpan w:val="5"/>
          </w:tcPr>
          <w:p w:rsidR="00B06877" w:rsidRDefault="00B06877" w:rsidP="00AD3DA6">
            <w:pPr>
              <w:pStyle w:val="BodyText2"/>
            </w:pP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587" w:type="dxa"/>
          </w:tcPr>
          <w:p w:rsidR="00B06877" w:rsidRDefault="00B06877" w:rsidP="00AD3DA6">
            <w:pPr>
              <w:pStyle w:val="BodyText2"/>
            </w:pPr>
            <w:r>
              <w:t>(2)</w:t>
            </w:r>
          </w:p>
        </w:tc>
        <w:tc>
          <w:tcPr>
            <w:tcW w:w="6890" w:type="dxa"/>
            <w:gridSpan w:val="5"/>
          </w:tcPr>
          <w:p w:rsidR="00B06877" w:rsidRDefault="00B06877" w:rsidP="00AD3DA6">
            <w:pPr>
              <w:pStyle w:val="BodyText2"/>
            </w:pPr>
            <w:r>
              <w:t>Esas Yasa, 15’inci maddesinin (1)’inci fıkrası kaldırılmak ve yerine aşağıdaki yeni (1)’inci fıkra konmak suretiyle değiştirilir:</w:t>
            </w:r>
          </w:p>
          <w:p w:rsidR="00B06877" w:rsidRDefault="00B06877" w:rsidP="00AD3DA6">
            <w:pPr>
              <w:pStyle w:val="BodyText2"/>
            </w:pP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587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284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567" w:type="dxa"/>
            <w:gridSpan w:val="2"/>
          </w:tcPr>
          <w:p w:rsidR="00B06877" w:rsidRDefault="00B06877" w:rsidP="00AD3DA6">
            <w:pPr>
              <w:pStyle w:val="BodyText2"/>
              <w:ind w:right="-108"/>
            </w:pPr>
            <w:r>
              <w:t>“(1</w:t>
            </w:r>
            <w:r w:rsidRPr="00DC6FF3">
              <w:t>)</w:t>
            </w:r>
          </w:p>
        </w:tc>
        <w:tc>
          <w:tcPr>
            <w:tcW w:w="6039" w:type="dxa"/>
            <w:gridSpan w:val="2"/>
          </w:tcPr>
          <w:p w:rsidR="00B06877" w:rsidRDefault="00B06877" w:rsidP="00AD3DA6">
            <w:pPr>
              <w:pStyle w:val="BodyText2"/>
            </w:pPr>
            <w:r>
              <w:t>(</w:t>
            </w:r>
            <w:r w:rsidRPr="00DC6FF3">
              <w:t xml:space="preserve">33’üncü madde altında yapılan müracaatlar dahil) </w:t>
            </w:r>
            <w:r>
              <w:t>S</w:t>
            </w:r>
            <w:r w:rsidRPr="00DC6FF3">
              <w:t>icilin A Kısmına tescil edilmiş olan bir ticaret markasına ilişkin tüm yargısal işlemlerde, ticaret markasının sici</w:t>
            </w:r>
            <w:r>
              <w:t>l</w:t>
            </w:r>
            <w:r w:rsidRPr="00DC6FF3">
              <w:t>inin A Kısmına yapılan ilk tescili;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587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284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567" w:type="dxa"/>
            <w:gridSpan w:val="2"/>
          </w:tcPr>
          <w:p w:rsidR="00B06877" w:rsidRDefault="00B06877" w:rsidP="00AD3DA6">
            <w:pPr>
              <w:pStyle w:val="BodyText2"/>
              <w:ind w:right="-108"/>
            </w:pPr>
          </w:p>
        </w:tc>
        <w:tc>
          <w:tcPr>
            <w:tcW w:w="567" w:type="dxa"/>
          </w:tcPr>
          <w:p w:rsidR="00B06877" w:rsidRDefault="00B06877" w:rsidP="00AD3DA6">
            <w:pPr>
              <w:pStyle w:val="BodyText2"/>
            </w:pPr>
            <w:r>
              <w:t>(a)</w:t>
            </w:r>
          </w:p>
        </w:tc>
        <w:tc>
          <w:tcPr>
            <w:tcW w:w="5472" w:type="dxa"/>
          </w:tcPr>
          <w:p w:rsidR="00B06877" w:rsidRDefault="00B06877" w:rsidP="00AD3DA6">
            <w:pPr>
              <w:pStyle w:val="BodyText2"/>
            </w:pPr>
            <w:r>
              <w:t>Hile ile elde edilmiş olmadıkça</w:t>
            </w:r>
            <w:r w:rsidRPr="00DC6FF3">
              <w:t>; veya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587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284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567" w:type="dxa"/>
            <w:gridSpan w:val="2"/>
          </w:tcPr>
          <w:p w:rsidR="00B06877" w:rsidRDefault="00B06877" w:rsidP="00AD3DA6">
            <w:pPr>
              <w:pStyle w:val="BodyText2"/>
              <w:ind w:right="-108"/>
            </w:pPr>
          </w:p>
        </w:tc>
        <w:tc>
          <w:tcPr>
            <w:tcW w:w="567" w:type="dxa"/>
          </w:tcPr>
          <w:p w:rsidR="00B06877" w:rsidRDefault="00B06877" w:rsidP="00AD3DA6">
            <w:pPr>
              <w:pStyle w:val="BodyText2"/>
            </w:pPr>
            <w:r w:rsidRPr="00DC6FF3">
              <w:t>(b)</w:t>
            </w:r>
          </w:p>
        </w:tc>
        <w:tc>
          <w:tcPr>
            <w:tcW w:w="5472" w:type="dxa"/>
          </w:tcPr>
          <w:p w:rsidR="00B06877" w:rsidRDefault="00B06877" w:rsidP="00AD3DA6">
            <w:pPr>
              <w:pStyle w:val="BodyText2"/>
            </w:pPr>
            <w:r w:rsidRPr="00DC6FF3">
              <w:t>Ticaret markası 13</w:t>
            </w:r>
            <w:r>
              <w:t>’üncü madde kurallarına aykırı o</w:t>
            </w:r>
            <w:r w:rsidRPr="00DC6FF3">
              <w:t>lmadıkça</w:t>
            </w:r>
            <w:r>
              <w:t xml:space="preserve"> </w:t>
            </w:r>
            <w:r w:rsidRPr="00DC6FF3">
              <w:t>tescil tarihinden başlayarak yedi yılın geçmesi üzerine, her bakımdan geçerli kabul edilir.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587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284" w:type="dxa"/>
          </w:tcPr>
          <w:p w:rsidR="00B06877" w:rsidRDefault="00B06877" w:rsidP="00AD3DA6">
            <w:pPr>
              <w:pStyle w:val="BodyText2"/>
            </w:pPr>
          </w:p>
        </w:tc>
        <w:tc>
          <w:tcPr>
            <w:tcW w:w="567" w:type="dxa"/>
            <w:gridSpan w:val="2"/>
          </w:tcPr>
          <w:p w:rsidR="00B06877" w:rsidRDefault="00B06877" w:rsidP="00AD3DA6">
            <w:pPr>
              <w:pStyle w:val="BodyText2"/>
              <w:ind w:right="-108"/>
            </w:pPr>
          </w:p>
        </w:tc>
        <w:tc>
          <w:tcPr>
            <w:tcW w:w="567" w:type="dxa"/>
          </w:tcPr>
          <w:p w:rsidR="00B06877" w:rsidRPr="00DC6FF3" w:rsidRDefault="00B06877" w:rsidP="00AD3DA6">
            <w:pPr>
              <w:pStyle w:val="BodyText2"/>
            </w:pPr>
          </w:p>
        </w:tc>
        <w:tc>
          <w:tcPr>
            <w:tcW w:w="5472" w:type="dxa"/>
          </w:tcPr>
          <w:p w:rsidR="00B06877" w:rsidRPr="00DC6FF3" w:rsidRDefault="00B06877" w:rsidP="00AD3DA6">
            <w:pPr>
              <w:pStyle w:val="BodyText2"/>
            </w:pPr>
            <w:r>
              <w:t xml:space="preserve">      Ancak 26.10.2015 tarihinden sonra tescil edilmiş ticaret markaları için bu süre on yıl olarak uygulanır.”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1534" w:type="dxa"/>
            <w:gridSpan w:val="4"/>
          </w:tcPr>
          <w:p w:rsidR="00B06877" w:rsidRDefault="00B06877" w:rsidP="00AD3DA6"/>
        </w:tc>
        <w:tc>
          <w:tcPr>
            <w:tcW w:w="6465" w:type="dxa"/>
            <w:gridSpan w:val="3"/>
          </w:tcPr>
          <w:p w:rsidR="00B06877" w:rsidRDefault="00B06877" w:rsidP="00AD3DA6"/>
        </w:tc>
      </w:tr>
      <w:tr w:rsidR="00B06877" w:rsidTr="00AD3DA6">
        <w:tc>
          <w:tcPr>
            <w:tcW w:w="1726" w:type="dxa"/>
          </w:tcPr>
          <w:p w:rsidR="00B06877" w:rsidRDefault="00B06877" w:rsidP="00AD3DA6">
            <w:proofErr w:type="spellStart"/>
            <w:r>
              <w:t>Esas</w:t>
            </w:r>
            <w:proofErr w:type="spellEnd"/>
            <w:r>
              <w:t xml:space="preserve"> </w:t>
            </w:r>
            <w:proofErr w:type="spellStart"/>
            <w:r>
              <w:t>Yasanın</w:t>
            </w:r>
            <w:proofErr w:type="spellEnd"/>
            <w:r>
              <w:t xml:space="preserve"> 22’nci </w:t>
            </w:r>
          </w:p>
        </w:tc>
        <w:tc>
          <w:tcPr>
            <w:tcW w:w="7999" w:type="dxa"/>
            <w:gridSpan w:val="7"/>
          </w:tcPr>
          <w:p w:rsidR="00B06877" w:rsidRPr="00DC6FF3" w:rsidRDefault="00B06877" w:rsidP="00AD3DA6">
            <w:r>
              <w:t xml:space="preserve">3. </w:t>
            </w:r>
            <w:proofErr w:type="spellStart"/>
            <w:r w:rsidRPr="00DC6FF3">
              <w:t>Esas</w:t>
            </w:r>
            <w:proofErr w:type="spellEnd"/>
            <w:r w:rsidRPr="00DC6FF3">
              <w:t xml:space="preserve"> </w:t>
            </w:r>
            <w:proofErr w:type="spellStart"/>
            <w:r w:rsidRPr="00DC6FF3">
              <w:t>Yasa</w:t>
            </w:r>
            <w:proofErr w:type="spellEnd"/>
            <w:r w:rsidRPr="00DC6FF3">
              <w:t xml:space="preserve">, 22’nci </w:t>
            </w:r>
            <w:proofErr w:type="spellStart"/>
            <w:r w:rsidRPr="00DC6FF3">
              <w:t>maddesi</w:t>
            </w:r>
            <w:proofErr w:type="spellEnd"/>
            <w:r w:rsidRPr="00DC6FF3">
              <w:t xml:space="preserve"> </w:t>
            </w:r>
            <w:proofErr w:type="spellStart"/>
            <w:r w:rsidRPr="00DC6FF3">
              <w:t>kaldırılmak</w:t>
            </w:r>
            <w:proofErr w:type="spellEnd"/>
            <w:r w:rsidRPr="00DC6FF3">
              <w:t xml:space="preserve"> </w:t>
            </w:r>
            <w:proofErr w:type="spellStart"/>
            <w:r w:rsidRPr="00DC6FF3">
              <w:t>ve</w:t>
            </w:r>
            <w:proofErr w:type="spellEnd"/>
            <w:r w:rsidRPr="00DC6FF3">
              <w:t xml:space="preserve"> </w:t>
            </w:r>
            <w:proofErr w:type="spellStart"/>
            <w:r w:rsidRPr="00DC6FF3">
              <w:t>yerine</w:t>
            </w:r>
            <w:proofErr w:type="spellEnd"/>
            <w:r w:rsidRPr="00DC6FF3">
              <w:t xml:space="preserve"> </w:t>
            </w:r>
            <w:proofErr w:type="spellStart"/>
            <w:r w:rsidRPr="00DC6FF3">
              <w:t>aşağıdaki</w:t>
            </w:r>
            <w:proofErr w:type="spellEnd"/>
            <w:r w:rsidRPr="00DC6FF3">
              <w:t xml:space="preserve"> </w:t>
            </w:r>
            <w:proofErr w:type="spellStart"/>
            <w:r w:rsidRPr="00DC6FF3">
              <w:t>yeni</w:t>
            </w:r>
            <w:proofErr w:type="spellEnd"/>
            <w:r w:rsidRPr="00DC6FF3">
              <w:t xml:space="preserve"> 22’nci </w:t>
            </w:r>
            <w:proofErr w:type="spellStart"/>
            <w:r w:rsidRPr="00DC6FF3">
              <w:t>madde</w:t>
            </w:r>
            <w:proofErr w:type="spellEnd"/>
            <w:r>
              <w:t xml:space="preserve"> </w:t>
            </w:r>
            <w:proofErr w:type="spellStart"/>
            <w:r>
              <w:t>konmak</w:t>
            </w:r>
            <w:proofErr w:type="spellEnd"/>
            <w:r>
              <w:t xml:space="preserve"> </w:t>
            </w:r>
            <w:proofErr w:type="spellStart"/>
            <w:r>
              <w:t>suretiyle</w:t>
            </w:r>
            <w:proofErr w:type="spellEnd"/>
            <w:r>
              <w:t xml:space="preserve"> </w:t>
            </w:r>
            <w:proofErr w:type="spellStart"/>
            <w:r>
              <w:t>değiştirilir</w:t>
            </w:r>
            <w:proofErr w:type="spellEnd"/>
            <w:r>
              <w:t>: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>
            <w:proofErr w:type="spellStart"/>
            <w:r>
              <w:t>Maddesinin</w:t>
            </w:r>
            <w:proofErr w:type="spellEnd"/>
          </w:p>
        </w:tc>
        <w:tc>
          <w:tcPr>
            <w:tcW w:w="7999" w:type="dxa"/>
            <w:gridSpan w:val="7"/>
          </w:tcPr>
          <w:p w:rsidR="00B06877" w:rsidRDefault="00B06877" w:rsidP="00AD3DA6"/>
        </w:tc>
      </w:tr>
    </w:tbl>
    <w:p w:rsidR="00814C5C" w:rsidRDefault="00814C5C">
      <w:r>
        <w:br w:type="page"/>
      </w:r>
      <w:bookmarkStart w:id="0" w:name="_GoBack"/>
      <w:bookmarkEnd w:id="0"/>
    </w:p>
    <w:tbl>
      <w:tblPr>
        <w:tblW w:w="972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726"/>
        <w:gridCol w:w="522"/>
        <w:gridCol w:w="1744"/>
        <w:gridCol w:w="567"/>
        <w:gridCol w:w="567"/>
        <w:gridCol w:w="567"/>
        <w:gridCol w:w="4032"/>
      </w:tblGrid>
      <w:tr w:rsidR="00B06877" w:rsidTr="00AD3DA6">
        <w:tc>
          <w:tcPr>
            <w:tcW w:w="1726" w:type="dxa"/>
          </w:tcPr>
          <w:p w:rsidR="00B06877" w:rsidRDefault="00B06877" w:rsidP="00AD3DA6">
            <w:proofErr w:type="spellStart"/>
            <w:r>
              <w:lastRenderedPageBreak/>
              <w:t>Değiştirilmesi</w:t>
            </w:r>
            <w:proofErr w:type="spellEnd"/>
          </w:p>
        </w:tc>
        <w:tc>
          <w:tcPr>
            <w:tcW w:w="522" w:type="dxa"/>
          </w:tcPr>
          <w:p w:rsidR="00B06877" w:rsidRDefault="00B06877" w:rsidP="00AD3DA6"/>
        </w:tc>
        <w:tc>
          <w:tcPr>
            <w:tcW w:w="1744" w:type="dxa"/>
          </w:tcPr>
          <w:p w:rsidR="00B06877" w:rsidRPr="00DC6FF3" w:rsidRDefault="00B06877" w:rsidP="00AD3DA6">
            <w:pPr>
              <w:pStyle w:val="NoSpacing"/>
            </w:pPr>
            <w:r>
              <w:t>“Tescilin Süresi ve Y</w:t>
            </w:r>
            <w:r w:rsidRPr="00DC6FF3">
              <w:t>enilenmesi</w:t>
            </w:r>
          </w:p>
        </w:tc>
        <w:tc>
          <w:tcPr>
            <w:tcW w:w="567" w:type="dxa"/>
          </w:tcPr>
          <w:p w:rsidR="00B06877" w:rsidRPr="00DC6FF3" w:rsidRDefault="00B06877" w:rsidP="00AD3DA6">
            <w:pPr>
              <w:pStyle w:val="NoSpacing"/>
            </w:pPr>
            <w:r>
              <w:t>22.</w:t>
            </w:r>
          </w:p>
        </w:tc>
        <w:tc>
          <w:tcPr>
            <w:tcW w:w="567" w:type="dxa"/>
          </w:tcPr>
          <w:p w:rsidR="00B06877" w:rsidRPr="00DC6FF3" w:rsidRDefault="00B06877" w:rsidP="00AD3DA6">
            <w:pPr>
              <w:pStyle w:val="NoSpacing"/>
            </w:pPr>
            <w:r>
              <w:t>(1)</w:t>
            </w:r>
          </w:p>
        </w:tc>
        <w:tc>
          <w:tcPr>
            <w:tcW w:w="4599" w:type="dxa"/>
            <w:gridSpan w:val="2"/>
          </w:tcPr>
          <w:p w:rsidR="00B06877" w:rsidRDefault="00B06877" w:rsidP="00AD3DA6">
            <w:pPr>
              <w:jc w:val="both"/>
            </w:pP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markasının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tescili</w:t>
            </w:r>
            <w:proofErr w:type="spellEnd"/>
            <w:r>
              <w:t>,</w:t>
            </w:r>
            <w:r w:rsidRPr="00586437">
              <w:t xml:space="preserve"> </w:t>
            </w:r>
            <w:r>
              <w:t xml:space="preserve">26.10.2015 </w:t>
            </w:r>
            <w:proofErr w:type="spellStart"/>
            <w:r>
              <w:t>tarihinden</w:t>
            </w:r>
            <w:proofErr w:type="spellEnd"/>
            <w:r>
              <w:t xml:space="preserve"> </w:t>
            </w:r>
            <w:proofErr w:type="spellStart"/>
            <w:r>
              <w:t>önceki</w:t>
            </w:r>
            <w:proofErr w:type="spellEnd"/>
            <w:r>
              <w:t xml:space="preserve"> </w:t>
            </w:r>
            <w:proofErr w:type="spellStart"/>
            <w:r>
              <w:t>tesciller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 w:rsidRPr="00586437">
              <w:t>ye</w:t>
            </w:r>
            <w:r>
              <w:t>di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, 26.10.2015 </w:t>
            </w:r>
            <w:proofErr w:type="spellStart"/>
            <w:r>
              <w:t>tarihinden</w:t>
            </w:r>
            <w:proofErr w:type="spellEnd"/>
            <w:r>
              <w:t xml:space="preserve"> </w:t>
            </w:r>
            <w:proofErr w:type="spellStart"/>
            <w:r>
              <w:t>sonraki</w:t>
            </w:r>
            <w:proofErr w:type="spellEnd"/>
            <w:r>
              <w:t xml:space="preserve"> </w:t>
            </w:r>
            <w:proofErr w:type="spellStart"/>
            <w:r>
              <w:t>tesciller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on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yapılır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ancak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bu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madde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kuralları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uyarınca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tes</w:t>
            </w:r>
            <w:r>
              <w:t>cil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yenilenebilir</w:t>
            </w:r>
            <w:proofErr w:type="spellEnd"/>
            <w:r>
              <w:t>.</w:t>
            </w:r>
          </w:p>
          <w:p w:rsidR="00B06877" w:rsidRPr="00DC6FF3" w:rsidRDefault="00B06877" w:rsidP="00814C5C">
            <w:pPr>
              <w:jc w:val="both"/>
            </w:pPr>
            <w:r w:rsidRPr="00586437">
              <w:t xml:space="preserve">      </w:t>
            </w:r>
            <w:proofErr w:type="spellStart"/>
            <w:r w:rsidRPr="00586437">
              <w:t>Ancak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saptanmış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günden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önceki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tarihte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yapılan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tescille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ilgili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olarak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bu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fıkra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söz</w:t>
            </w:r>
            <w:proofErr w:type="spellEnd"/>
            <w:r w:rsidRPr="00586437">
              <w:t xml:space="preserve"> </w:t>
            </w:r>
            <w:proofErr w:type="spellStart"/>
            <w:proofErr w:type="gramStart"/>
            <w:r w:rsidRPr="00586437">
              <w:t>konusu</w:t>
            </w:r>
            <w:proofErr w:type="spellEnd"/>
            <w:r w:rsidRPr="00586437">
              <w:t xml:space="preserve">  </w:t>
            </w:r>
            <w:proofErr w:type="spellStart"/>
            <w:r w:rsidRPr="00586437">
              <w:t>yedi</w:t>
            </w:r>
            <w:proofErr w:type="spellEnd"/>
            <w:proofErr w:type="gramEnd"/>
            <w:r w:rsidRPr="00586437">
              <w:t xml:space="preserve"> </w:t>
            </w:r>
            <w:proofErr w:type="spellStart"/>
            <w:r w:rsidRPr="00586437">
              <w:t>yıllık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süre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yerine</w:t>
            </w:r>
            <w:proofErr w:type="spellEnd"/>
            <w:r w:rsidRPr="00586437">
              <w:t xml:space="preserve"> on </w:t>
            </w:r>
            <w:proofErr w:type="spellStart"/>
            <w:r w:rsidRPr="00586437">
              <w:t>dört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yıllık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süre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konulması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suretiyle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etkili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olur</w:t>
            </w:r>
            <w:proofErr w:type="spellEnd"/>
            <w:r w:rsidRPr="00586437">
              <w:t>.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1744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Default="00B06877" w:rsidP="00AD3DA6">
            <w:pPr>
              <w:pStyle w:val="NoSpacing"/>
            </w:pPr>
            <w:r>
              <w:t>(2)</w:t>
            </w:r>
          </w:p>
        </w:tc>
        <w:tc>
          <w:tcPr>
            <w:tcW w:w="4599" w:type="dxa"/>
            <w:gridSpan w:val="2"/>
          </w:tcPr>
          <w:p w:rsidR="00B06877" w:rsidRPr="00586437" w:rsidRDefault="00B06877" w:rsidP="00AD3DA6">
            <w:pPr>
              <w:jc w:val="both"/>
            </w:pPr>
            <w:proofErr w:type="spellStart"/>
            <w:r w:rsidRPr="00586437">
              <w:t>Mukayyit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markasının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tescilli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sahibi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tarafından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saptanmış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biçimde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ve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saptanmış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süre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içinde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müracaatta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bulunulması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üzerine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markasının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tescilini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duruma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göre</w:t>
            </w:r>
            <w:proofErr w:type="spellEnd"/>
            <w:r w:rsidRPr="00586437">
              <w:t xml:space="preserve">, ilk </w:t>
            </w:r>
            <w:proofErr w:type="spellStart"/>
            <w:r w:rsidRPr="00586437">
              <w:t>tescilin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sona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erdiği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tarihten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veya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tescilin</w:t>
            </w:r>
            <w:proofErr w:type="spellEnd"/>
            <w:r w:rsidRPr="00586437">
              <w:t xml:space="preserve"> son </w:t>
            </w:r>
            <w:proofErr w:type="spellStart"/>
            <w:r w:rsidRPr="00586437">
              <w:t>yenilenmiş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tarihinin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sona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erdiği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tarihten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başlayarak</w:t>
            </w:r>
            <w:proofErr w:type="spellEnd"/>
            <w:r>
              <w:t xml:space="preserve"> 26.10.2015 </w:t>
            </w:r>
            <w:proofErr w:type="spellStart"/>
            <w:r>
              <w:t>tarihinden</w:t>
            </w:r>
            <w:proofErr w:type="spellEnd"/>
            <w:r>
              <w:t xml:space="preserve"> </w:t>
            </w:r>
            <w:proofErr w:type="spellStart"/>
            <w:r>
              <w:t>öncekiler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 w:rsidRPr="00586437">
              <w:t xml:space="preserve"> on </w:t>
            </w:r>
            <w:proofErr w:type="spellStart"/>
            <w:r w:rsidRPr="00586437">
              <w:t>dö</w:t>
            </w:r>
            <w:r>
              <w:t>rt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, 26.10.2015 </w:t>
            </w:r>
            <w:proofErr w:type="spellStart"/>
            <w:r>
              <w:t>tarihinden</w:t>
            </w:r>
            <w:proofErr w:type="spellEnd"/>
            <w:r>
              <w:t xml:space="preserve"> </w:t>
            </w:r>
            <w:proofErr w:type="spellStart"/>
            <w:r>
              <w:t>sonrakiler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on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yeniler</w:t>
            </w:r>
            <w:proofErr w:type="spellEnd"/>
            <w:r>
              <w:t>,</w:t>
            </w:r>
            <w:r w:rsidRPr="00586437">
              <w:t xml:space="preserve"> </w:t>
            </w:r>
            <w:proofErr w:type="spellStart"/>
            <w:r w:rsidRPr="00586437">
              <w:t>bu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maddede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bu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tarihlere</w:t>
            </w:r>
            <w:proofErr w:type="spellEnd"/>
            <w:r w:rsidRPr="00586437">
              <w:t xml:space="preserve"> “son </w:t>
            </w:r>
            <w:proofErr w:type="spellStart"/>
            <w:r w:rsidRPr="00586437">
              <w:t>tescilin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sona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ermesi</w:t>
            </w:r>
            <w:proofErr w:type="spellEnd"/>
            <w:r w:rsidRPr="00586437">
              <w:t xml:space="preserve"> “</w:t>
            </w:r>
            <w:proofErr w:type="spellStart"/>
            <w:r w:rsidRPr="00586437">
              <w:t>olarak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atıfta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bulunulur</w:t>
            </w:r>
            <w:proofErr w:type="spellEnd"/>
            <w:r w:rsidRPr="00586437">
              <w:t>.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1744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Default="00B06877" w:rsidP="00AD3DA6">
            <w:pPr>
              <w:pStyle w:val="NoSpacing"/>
            </w:pPr>
            <w:r>
              <w:t>(3)</w:t>
            </w:r>
          </w:p>
        </w:tc>
        <w:tc>
          <w:tcPr>
            <w:tcW w:w="4599" w:type="dxa"/>
            <w:gridSpan w:val="2"/>
          </w:tcPr>
          <w:p w:rsidR="00B06877" w:rsidRPr="00586437" w:rsidRDefault="00B06877" w:rsidP="00AD3DA6">
            <w:pPr>
              <w:jc w:val="both"/>
            </w:pP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markasının</w:t>
            </w:r>
            <w:proofErr w:type="spellEnd"/>
            <w:r w:rsidRPr="00586437">
              <w:t xml:space="preserve"> son </w:t>
            </w:r>
            <w:proofErr w:type="spellStart"/>
            <w:r w:rsidRPr="00586437">
              <w:t>tescilinin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sona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ermesinden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önce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saptanmış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zamanda</w:t>
            </w:r>
            <w:proofErr w:type="spellEnd"/>
            <w:proofErr w:type="gramStart"/>
            <w:r w:rsidRPr="00586437">
              <w:t xml:space="preserve">,  </w:t>
            </w:r>
            <w:proofErr w:type="spellStart"/>
            <w:r w:rsidRPr="00586437">
              <w:t>tesci</w:t>
            </w:r>
            <w:r>
              <w:t>lli</w:t>
            </w:r>
            <w:proofErr w:type="spellEnd"/>
            <w:proofErr w:type="gramEnd"/>
            <w:r w:rsidRPr="00586437">
              <w:t xml:space="preserve"> </w:t>
            </w:r>
            <w:proofErr w:type="spellStart"/>
            <w:r w:rsidRPr="00586437">
              <w:t>sahi</w:t>
            </w:r>
            <w:r>
              <w:t>bin</w:t>
            </w:r>
            <w:proofErr w:type="spellEnd"/>
            <w:r>
              <w:t xml:space="preserve"> </w:t>
            </w:r>
            <w:proofErr w:type="spellStart"/>
            <w:r>
              <w:t>ticaret</w:t>
            </w:r>
            <w:proofErr w:type="spellEnd"/>
            <w:r>
              <w:t xml:space="preserve"> </w:t>
            </w:r>
            <w:proofErr w:type="spellStart"/>
            <w:r>
              <w:t>markası</w:t>
            </w:r>
            <w:proofErr w:type="spellEnd"/>
            <w:r>
              <w:t xml:space="preserve"> </w:t>
            </w:r>
            <w:proofErr w:type="spellStart"/>
            <w:r>
              <w:t>tescilinin</w:t>
            </w:r>
            <w:proofErr w:type="spellEnd"/>
            <w:r>
              <w:t xml:space="preserve"> </w:t>
            </w:r>
            <w:proofErr w:type="spellStart"/>
            <w:r>
              <w:t>yenilenmesi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başvuruda</w:t>
            </w:r>
            <w:proofErr w:type="spellEnd"/>
            <w:r>
              <w:t xml:space="preserve"> </w:t>
            </w:r>
            <w:proofErr w:type="spellStart"/>
            <w:r>
              <w:t>bulunması</w:t>
            </w:r>
            <w:proofErr w:type="spellEnd"/>
            <w:r>
              <w:t xml:space="preserve"> </w:t>
            </w:r>
            <w:proofErr w:type="spellStart"/>
            <w:r>
              <w:t>gerekir</w:t>
            </w:r>
            <w:proofErr w:type="spellEnd"/>
            <w:r>
              <w:t>.</w:t>
            </w:r>
            <w:r w:rsidRPr="00586437">
              <w:t xml:space="preserve"> </w:t>
            </w:r>
            <w:proofErr w:type="spellStart"/>
            <w:r>
              <w:t>S</w:t>
            </w:r>
            <w:r w:rsidRPr="00586437">
              <w:t>aptanmış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sürenin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sona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ermesi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üzerine</w:t>
            </w:r>
            <w:proofErr w:type="spellEnd"/>
            <w:r w:rsidRPr="00586437">
              <w:t xml:space="preserve"> </w:t>
            </w:r>
            <w:proofErr w:type="spellStart"/>
            <w:r>
              <w:t>yenileme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için</w:t>
            </w:r>
            <w:proofErr w:type="spellEnd"/>
            <w:r w:rsidRPr="00586437"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 w:rsidRPr="00586437">
              <w:t>harçların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ödenme</w:t>
            </w:r>
            <w:r>
              <w:t>me</w:t>
            </w:r>
            <w:r w:rsidRPr="00586437">
              <w:t>si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ve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koşulların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usulüne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göre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yerine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getirilmemesi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halinde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Mukayyit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markasını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sicile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saptanmış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biçimde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iadesine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ilişkin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mevcut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olabilecek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koşullara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bağlı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olarak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sicilden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çıkarabilir</w:t>
            </w:r>
            <w:proofErr w:type="spellEnd"/>
            <w:r w:rsidRPr="00586437">
              <w:t xml:space="preserve">. 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1744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Default="00B06877" w:rsidP="00AD3DA6">
            <w:pPr>
              <w:pStyle w:val="NoSpacing"/>
            </w:pPr>
            <w:r>
              <w:t>(4)</w:t>
            </w:r>
          </w:p>
        </w:tc>
        <w:tc>
          <w:tcPr>
            <w:tcW w:w="4599" w:type="dxa"/>
            <w:gridSpan w:val="2"/>
          </w:tcPr>
          <w:p w:rsidR="00B06877" w:rsidRPr="00586437" w:rsidRDefault="00B06877" w:rsidP="00AD3DA6">
            <w:pPr>
              <w:jc w:val="both"/>
            </w:pP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yenileme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harcının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ödenmemesi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nedeniyle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sicilden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çıkarılmış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olmasına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rağmen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sicilden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çıkarılma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tarihini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izleyen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yıl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içinde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tescil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ettirmek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için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yapılan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herhangi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müracaat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amaçları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bakımından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halen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sicilde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kayıtlı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bulunan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sayılır</w:t>
            </w:r>
            <w:proofErr w:type="spellEnd"/>
            <w:r>
              <w:t>.</w:t>
            </w:r>
          </w:p>
          <w:p w:rsidR="00B06877" w:rsidRPr="00586437" w:rsidRDefault="00B06877" w:rsidP="00AD3DA6">
            <w:pPr>
              <w:jc w:val="both"/>
            </w:pPr>
            <w:r w:rsidRPr="00586437">
              <w:t xml:space="preserve">       </w:t>
            </w:r>
            <w:proofErr w:type="spellStart"/>
            <w:r>
              <w:t>Ancak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bu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fıkranın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yukarıdaki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kuralları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Mukayyidin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aşağıdaki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hususlarda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tatmin</w:t>
            </w:r>
            <w:proofErr w:type="spellEnd"/>
            <w:r w:rsidRPr="00586437"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durumlarda</w:t>
            </w:r>
            <w:proofErr w:type="spellEnd"/>
            <w:r>
              <w:t xml:space="preserve"> </w:t>
            </w:r>
            <w:proofErr w:type="spellStart"/>
            <w:r>
              <w:t>etkili</w:t>
            </w:r>
            <w:proofErr w:type="spellEnd"/>
            <w:r>
              <w:t xml:space="preserve"> </w:t>
            </w:r>
            <w:proofErr w:type="spellStart"/>
            <w:r>
              <w:t>olmaz</w:t>
            </w:r>
            <w:proofErr w:type="spellEnd"/>
            <w:r>
              <w:t>: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1744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Pr="00586437" w:rsidRDefault="00B06877" w:rsidP="00AD3DA6">
            <w:pPr>
              <w:jc w:val="both"/>
            </w:pPr>
            <w:r>
              <w:t>(a)</w:t>
            </w:r>
          </w:p>
        </w:tc>
        <w:tc>
          <w:tcPr>
            <w:tcW w:w="4032" w:type="dxa"/>
          </w:tcPr>
          <w:p w:rsidR="00B06877" w:rsidRPr="00586437" w:rsidRDefault="00B06877" w:rsidP="00AD3DA6">
            <w:pPr>
              <w:jc w:val="both"/>
            </w:pPr>
            <w:proofErr w:type="spellStart"/>
            <w:r w:rsidRPr="00586437">
              <w:t>Sicilden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çıkarılan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markasının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çıkarılmasından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hemen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önce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gelen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iki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yıl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içinde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iyi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niyetle</w:t>
            </w:r>
            <w:proofErr w:type="spellEnd"/>
            <w:r w:rsidRPr="00586437">
              <w:t xml:space="preserve"> </w:t>
            </w:r>
            <w:proofErr w:type="spellStart"/>
            <w:r>
              <w:t>ticari</w:t>
            </w:r>
            <w:proofErr w:type="spellEnd"/>
            <w:r>
              <w:t xml:space="preserve"> </w:t>
            </w:r>
            <w:proofErr w:type="spellStart"/>
            <w:r>
              <w:t>kullanımının</w:t>
            </w:r>
            <w:proofErr w:type="spellEnd"/>
            <w:r>
              <w:t xml:space="preserve"> </w:t>
            </w:r>
            <w:proofErr w:type="spellStart"/>
            <w:r>
              <w:t>bulunmadığı</w:t>
            </w:r>
            <w:proofErr w:type="spellEnd"/>
            <w:r w:rsidRPr="00586437">
              <w:t>;</w:t>
            </w:r>
            <w:r>
              <w:t xml:space="preserve"> </w:t>
            </w:r>
            <w:proofErr w:type="spellStart"/>
            <w:r w:rsidRPr="00586437">
              <w:t>veya</w:t>
            </w:r>
            <w:proofErr w:type="spellEnd"/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1744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Pr="00DC6FF3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Default="00B06877" w:rsidP="00AD3DA6">
            <w:pPr>
              <w:pStyle w:val="NoSpacing"/>
            </w:pPr>
          </w:p>
        </w:tc>
        <w:tc>
          <w:tcPr>
            <w:tcW w:w="567" w:type="dxa"/>
          </w:tcPr>
          <w:p w:rsidR="00B06877" w:rsidRDefault="00B06877" w:rsidP="00AD3DA6">
            <w:pPr>
              <w:jc w:val="both"/>
            </w:pPr>
            <w:r>
              <w:t>(b)</w:t>
            </w:r>
          </w:p>
        </w:tc>
        <w:tc>
          <w:tcPr>
            <w:tcW w:w="4032" w:type="dxa"/>
          </w:tcPr>
          <w:p w:rsidR="00B06877" w:rsidRPr="00586437" w:rsidRDefault="00B06877" w:rsidP="00AD3DA6">
            <w:pPr>
              <w:jc w:val="both"/>
            </w:pPr>
            <w:proofErr w:type="spellStart"/>
            <w:r>
              <w:t>S</w:t>
            </w:r>
            <w:r w:rsidRPr="00586437">
              <w:t>icilden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çıkarılan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markasının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daha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önceki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herhangi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kullanımı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lastRenderedPageBreak/>
              <w:t>nedeniyle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müracaata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konu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ticaret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markasının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kullanımından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aldatıcı</w:t>
            </w:r>
            <w:proofErr w:type="spellEnd"/>
            <w:r w:rsidRPr="00586437">
              <w:t xml:space="preserve">, </w:t>
            </w:r>
            <w:proofErr w:type="spellStart"/>
            <w:r w:rsidRPr="00586437">
              <w:t>yanıltıcı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veya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zihinlerde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karışıklık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yaratan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bir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durumun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ortaya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çıkma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olasılığının</w:t>
            </w:r>
            <w:proofErr w:type="spellEnd"/>
            <w:r w:rsidRPr="00586437">
              <w:t xml:space="preserve"> </w:t>
            </w:r>
            <w:proofErr w:type="spellStart"/>
            <w:r w:rsidRPr="00586437">
              <w:t>bulunmadığı</w:t>
            </w:r>
            <w:proofErr w:type="spellEnd"/>
            <w:r w:rsidRPr="00586437">
              <w:t>.</w:t>
            </w:r>
            <w:r>
              <w:t>”</w:t>
            </w:r>
          </w:p>
        </w:tc>
      </w:tr>
      <w:tr w:rsidR="00B06877" w:rsidTr="00AD3DA6">
        <w:tc>
          <w:tcPr>
            <w:tcW w:w="1726" w:type="dxa"/>
          </w:tcPr>
          <w:p w:rsidR="00B06877" w:rsidRDefault="00B06877" w:rsidP="00AD3DA6"/>
        </w:tc>
        <w:tc>
          <w:tcPr>
            <w:tcW w:w="522" w:type="dxa"/>
          </w:tcPr>
          <w:p w:rsidR="00B06877" w:rsidRDefault="00B06877" w:rsidP="00AD3DA6"/>
        </w:tc>
        <w:tc>
          <w:tcPr>
            <w:tcW w:w="7477" w:type="dxa"/>
            <w:gridSpan w:val="5"/>
          </w:tcPr>
          <w:p w:rsidR="00B06877" w:rsidRDefault="00B06877" w:rsidP="00AD3DA6"/>
        </w:tc>
      </w:tr>
      <w:tr w:rsidR="00B06877" w:rsidTr="00AD3DA6">
        <w:tc>
          <w:tcPr>
            <w:tcW w:w="1726" w:type="dxa"/>
          </w:tcPr>
          <w:p w:rsidR="00B06877" w:rsidRDefault="00B06877" w:rsidP="00AD3DA6">
            <w:proofErr w:type="spellStart"/>
            <w:r>
              <w:t>Yürürlüğe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7999" w:type="dxa"/>
            <w:gridSpan w:val="6"/>
          </w:tcPr>
          <w:p w:rsidR="00B06877" w:rsidRDefault="00B06877" w:rsidP="00AD3DA6">
            <w:pPr>
              <w:jc w:val="both"/>
            </w:pPr>
            <w:r>
              <w:t xml:space="preserve">4. Bu </w:t>
            </w:r>
            <w:proofErr w:type="spellStart"/>
            <w:r>
              <w:t>Yasa</w:t>
            </w:r>
            <w:proofErr w:type="spellEnd"/>
            <w:r>
              <w:t xml:space="preserve">, </w:t>
            </w:r>
            <w:proofErr w:type="spellStart"/>
            <w:r>
              <w:t>Resmi</w:t>
            </w:r>
            <w:proofErr w:type="spellEnd"/>
            <w:r>
              <w:t xml:space="preserve"> </w:t>
            </w:r>
            <w:proofErr w:type="spellStart"/>
            <w:r>
              <w:t>Gazete’de</w:t>
            </w:r>
            <w:proofErr w:type="spellEnd"/>
            <w:r>
              <w:t xml:space="preserve"> </w:t>
            </w:r>
            <w:proofErr w:type="spellStart"/>
            <w:r>
              <w:t>yayımlandığı</w:t>
            </w:r>
            <w:proofErr w:type="spellEnd"/>
            <w:r>
              <w:t xml:space="preserve"> </w:t>
            </w:r>
            <w:proofErr w:type="spellStart"/>
            <w:r>
              <w:t>tarihten</w:t>
            </w:r>
            <w:proofErr w:type="spellEnd"/>
            <w:r>
              <w:t xml:space="preserve"> </w:t>
            </w:r>
            <w:proofErr w:type="spellStart"/>
            <w:r>
              <w:t>başlayarak</w:t>
            </w:r>
            <w:proofErr w:type="spellEnd"/>
            <w:r>
              <w:t xml:space="preserve"> </w:t>
            </w:r>
            <w:proofErr w:type="spellStart"/>
            <w:r>
              <w:t>yürürlüğe</w:t>
            </w:r>
            <w:proofErr w:type="spellEnd"/>
            <w:r>
              <w:t xml:space="preserve"> </w:t>
            </w:r>
            <w:proofErr w:type="spellStart"/>
            <w:r>
              <w:t>girer</w:t>
            </w:r>
            <w:proofErr w:type="spellEnd"/>
            <w:r>
              <w:t>.</w:t>
            </w:r>
          </w:p>
        </w:tc>
      </w:tr>
    </w:tbl>
    <w:p w:rsidR="00B06877" w:rsidRDefault="00B06877" w:rsidP="00B06877"/>
    <w:p w:rsidR="00E543FA" w:rsidRDefault="00814C5C"/>
    <w:sectPr w:rsidR="00E5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EC"/>
    <w:rsid w:val="00233BED"/>
    <w:rsid w:val="002E0FEC"/>
    <w:rsid w:val="00360614"/>
    <w:rsid w:val="0038385C"/>
    <w:rsid w:val="00497257"/>
    <w:rsid w:val="00620B25"/>
    <w:rsid w:val="006C61F1"/>
    <w:rsid w:val="00814C5C"/>
    <w:rsid w:val="00B06877"/>
    <w:rsid w:val="00B74564"/>
    <w:rsid w:val="00CA502E"/>
    <w:rsid w:val="00D53F9D"/>
    <w:rsid w:val="00F3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06877"/>
    <w:pPr>
      <w:jc w:val="both"/>
    </w:pPr>
    <w:rPr>
      <w:lang w:val="tr-TR"/>
    </w:rPr>
  </w:style>
  <w:style w:type="character" w:customStyle="1" w:styleId="BodyText2Char">
    <w:name w:val="Body Text 2 Char"/>
    <w:basedOn w:val="DefaultParagraphFont"/>
    <w:link w:val="BodyText2"/>
    <w:semiHidden/>
    <w:rsid w:val="00B068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B06877"/>
    <w:pPr>
      <w:jc w:val="both"/>
    </w:pPr>
    <w:rPr>
      <w:lang w:val="tr-TR"/>
    </w:rPr>
  </w:style>
  <w:style w:type="character" w:customStyle="1" w:styleId="BodyText2Char">
    <w:name w:val="Body Text 2 Char"/>
    <w:basedOn w:val="DefaultParagraphFont"/>
    <w:link w:val="BodyText2"/>
    <w:semiHidden/>
    <w:rsid w:val="00B068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0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İnatcı</dc:creator>
  <cp:keywords/>
  <dc:description/>
  <cp:lastModifiedBy>Hayriye İnatcı</cp:lastModifiedBy>
  <cp:revision>11</cp:revision>
  <cp:lastPrinted>2024-01-19T06:56:00Z</cp:lastPrinted>
  <dcterms:created xsi:type="dcterms:W3CDTF">2024-01-17T09:44:00Z</dcterms:created>
  <dcterms:modified xsi:type="dcterms:W3CDTF">2024-02-14T11:21:00Z</dcterms:modified>
</cp:coreProperties>
</file>