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80" w:rsidRPr="008A2B5B" w:rsidRDefault="00FF4080" w:rsidP="008730ED">
      <w:pPr>
        <w:spacing w:after="0" w:line="240" w:lineRule="auto"/>
        <w:jc w:val="center"/>
        <w:rPr>
          <w:rFonts w:ascii="Times New Roman" w:hAnsi="Times New Roman" w:cs="Times New Roman"/>
          <w:sz w:val="24"/>
          <w:szCs w:val="24"/>
        </w:rPr>
      </w:pPr>
    </w:p>
    <w:p w:rsidR="00660873" w:rsidRDefault="00660873" w:rsidP="008730ED">
      <w:pPr>
        <w:spacing w:after="0" w:line="240" w:lineRule="auto"/>
        <w:jc w:val="center"/>
        <w:rPr>
          <w:rFonts w:ascii="Times New Roman" w:hAnsi="Times New Roman" w:cs="Times New Roman"/>
          <w:sz w:val="24"/>
          <w:szCs w:val="24"/>
        </w:rPr>
      </w:pPr>
    </w:p>
    <w:p w:rsidR="00822EA1" w:rsidRDefault="00822EA1" w:rsidP="00822EA1">
      <w:pPr>
        <w:pStyle w:val="AralkYok"/>
        <w:jc w:val="both"/>
        <w:rPr>
          <w:rFonts w:ascii="Times New Roman" w:hAnsi="Times New Roman"/>
          <w:color w:val="000000"/>
          <w:sz w:val="24"/>
          <w:szCs w:val="24"/>
        </w:rPr>
      </w:pPr>
      <w:r>
        <w:rPr>
          <w:rFonts w:ascii="Times New Roman" w:hAnsi="Times New Roman"/>
          <w:color w:val="000000"/>
          <w:sz w:val="24"/>
          <w:szCs w:val="24"/>
        </w:rPr>
        <w:t>Kuzey Kıbrıs Türk Cumhuriyeti Cumhuriyet Meclisi’nin 21 Haziran 2021 tarihli Elliyedinci Birleşiminde Oybirliğiyle kabul olunan “</w:t>
      </w:r>
      <w:r w:rsidRPr="00822EA1">
        <w:rPr>
          <w:rFonts w:ascii="Times New Roman" w:hAnsi="Times New Roman"/>
          <w:color w:val="000000"/>
          <w:sz w:val="24"/>
          <w:szCs w:val="24"/>
        </w:rPr>
        <w:t>Kuzey Kıbrıs Türk Cumhuriyeti Kalkınma Bankası Teşkilat (Değişiklik) Yasa</w:t>
      </w:r>
      <w:r>
        <w:rPr>
          <w:rFonts w:ascii="Times New Roman" w:hAnsi="Times New Roman"/>
          <w:color w:val="000000"/>
          <w:sz w:val="24"/>
          <w:szCs w:val="24"/>
        </w:rPr>
        <w:t>sı</w:t>
      </w:r>
      <w:bookmarkStart w:id="0" w:name="_GoBack"/>
      <w:bookmarkEnd w:id="0"/>
      <w:r>
        <w:rPr>
          <w:rFonts w:ascii="Times New Roman" w:hAnsi="Times New Roman"/>
          <w:color w:val="000000"/>
          <w:sz w:val="24"/>
          <w:szCs w:val="24"/>
        </w:rPr>
        <w:t>” Anayasanın 94'üncü maddesinin (1)'inci fıkrası gereğince Kuzey Kıbrıs Türk Cumhuriyeti Cumhurbaşkanı tarafından Resmi Gazete'de yayımlanmak suretiyle ilan olunur.</w:t>
      </w:r>
      <w:r>
        <w:rPr>
          <w:rFonts w:ascii="Times New Roman" w:hAnsi="Times New Roman"/>
          <w:bCs/>
          <w:color w:val="000000"/>
          <w:sz w:val="24"/>
          <w:szCs w:val="24"/>
        </w:rPr>
        <w:tab/>
      </w:r>
    </w:p>
    <w:p w:rsidR="00822EA1" w:rsidRDefault="00822EA1" w:rsidP="00822EA1">
      <w:pPr>
        <w:pStyle w:val="AralkYok"/>
        <w:jc w:val="both"/>
        <w:rPr>
          <w:rFonts w:ascii="Times New Roman" w:hAnsi="Times New Roman"/>
          <w:color w:val="000000"/>
          <w:sz w:val="24"/>
          <w:szCs w:val="24"/>
        </w:rPr>
      </w:pPr>
    </w:p>
    <w:p w:rsidR="00822EA1" w:rsidRDefault="00822EA1" w:rsidP="00822EA1">
      <w:pPr>
        <w:pStyle w:val="AralkYok"/>
        <w:jc w:val="both"/>
        <w:rPr>
          <w:rFonts w:ascii="Times New Roman" w:hAnsi="Times New Roman"/>
          <w:color w:val="000000"/>
          <w:sz w:val="24"/>
          <w:szCs w:val="24"/>
        </w:rPr>
      </w:pPr>
    </w:p>
    <w:p w:rsidR="00822EA1" w:rsidRDefault="00822EA1" w:rsidP="00822EA1">
      <w:pPr>
        <w:pStyle w:val="AralkYok"/>
        <w:jc w:val="center"/>
        <w:rPr>
          <w:rFonts w:ascii="Times New Roman" w:hAnsi="Times New Roman"/>
          <w:color w:val="000000"/>
          <w:sz w:val="24"/>
          <w:szCs w:val="24"/>
        </w:rPr>
      </w:pPr>
      <w:r>
        <w:rPr>
          <w:rFonts w:ascii="Times New Roman" w:hAnsi="Times New Roman"/>
          <w:color w:val="000000"/>
          <w:sz w:val="24"/>
          <w:szCs w:val="24"/>
        </w:rPr>
        <w:t>Sayı: 1</w:t>
      </w:r>
      <w:r>
        <w:rPr>
          <w:rFonts w:ascii="Times New Roman" w:hAnsi="Times New Roman"/>
          <w:color w:val="000000"/>
          <w:sz w:val="24"/>
          <w:szCs w:val="24"/>
        </w:rPr>
        <w:t>5</w:t>
      </w:r>
      <w:r>
        <w:rPr>
          <w:rFonts w:ascii="Times New Roman" w:hAnsi="Times New Roman"/>
          <w:color w:val="000000"/>
          <w:sz w:val="24"/>
          <w:szCs w:val="24"/>
        </w:rPr>
        <w:t>/2021</w:t>
      </w:r>
    </w:p>
    <w:p w:rsidR="00660873" w:rsidRDefault="00660873" w:rsidP="008730ED">
      <w:pPr>
        <w:spacing w:after="0" w:line="240" w:lineRule="auto"/>
        <w:jc w:val="center"/>
        <w:rPr>
          <w:rFonts w:ascii="Times New Roman" w:hAnsi="Times New Roman" w:cs="Times New Roman"/>
          <w:sz w:val="24"/>
          <w:szCs w:val="24"/>
        </w:rPr>
      </w:pPr>
    </w:p>
    <w:p w:rsidR="00822EA1" w:rsidRDefault="00822EA1" w:rsidP="008730ED">
      <w:pPr>
        <w:spacing w:after="0" w:line="240" w:lineRule="auto"/>
        <w:jc w:val="center"/>
        <w:rPr>
          <w:rFonts w:ascii="Times New Roman" w:hAnsi="Times New Roman" w:cs="Times New Roman"/>
          <w:sz w:val="24"/>
          <w:szCs w:val="24"/>
        </w:rPr>
      </w:pPr>
    </w:p>
    <w:p w:rsidR="00DD44C3" w:rsidRPr="008A2B5B" w:rsidRDefault="003E51B1" w:rsidP="008730ED">
      <w:pPr>
        <w:spacing w:after="0" w:line="240" w:lineRule="auto"/>
        <w:jc w:val="center"/>
        <w:rPr>
          <w:rFonts w:ascii="Times New Roman" w:hAnsi="Times New Roman" w:cs="Times New Roman"/>
          <w:sz w:val="24"/>
          <w:szCs w:val="24"/>
        </w:rPr>
      </w:pPr>
      <w:r w:rsidRPr="008A2B5B">
        <w:rPr>
          <w:rFonts w:ascii="Times New Roman" w:hAnsi="Times New Roman" w:cs="Times New Roman"/>
          <w:sz w:val="24"/>
          <w:szCs w:val="24"/>
        </w:rPr>
        <w:t>KUZEY KIBRIS TÜRK CUMHURİYETİ KALKINMA BANKASI</w:t>
      </w:r>
      <w:r w:rsidR="00DD44C3" w:rsidRPr="008A2B5B">
        <w:rPr>
          <w:rFonts w:ascii="Times New Roman" w:hAnsi="Times New Roman" w:cs="Times New Roman"/>
          <w:sz w:val="24"/>
          <w:szCs w:val="24"/>
        </w:rPr>
        <w:t xml:space="preserve">  </w:t>
      </w:r>
    </w:p>
    <w:p w:rsidR="003E51B1" w:rsidRPr="008A2B5B" w:rsidRDefault="00DD44C3" w:rsidP="008730ED">
      <w:pPr>
        <w:spacing w:after="0" w:line="240" w:lineRule="auto"/>
        <w:jc w:val="center"/>
        <w:rPr>
          <w:rFonts w:ascii="Times New Roman" w:hAnsi="Times New Roman" w:cs="Times New Roman"/>
          <w:sz w:val="24"/>
          <w:szCs w:val="24"/>
        </w:rPr>
      </w:pPr>
      <w:r w:rsidRPr="008A2B5B">
        <w:rPr>
          <w:rFonts w:ascii="Times New Roman" w:hAnsi="Times New Roman" w:cs="Times New Roman"/>
          <w:sz w:val="24"/>
          <w:szCs w:val="24"/>
        </w:rPr>
        <w:t xml:space="preserve">TEŞKİLAT </w:t>
      </w:r>
      <w:r w:rsidR="003E51B1" w:rsidRPr="008A2B5B">
        <w:rPr>
          <w:rFonts w:ascii="Times New Roman" w:hAnsi="Times New Roman" w:cs="Times New Roman"/>
          <w:sz w:val="24"/>
          <w:szCs w:val="24"/>
        </w:rPr>
        <w:t>(DEĞİŞİKLİK) YASA</w:t>
      </w:r>
      <w:r w:rsidR="001A55EC" w:rsidRPr="008A2B5B">
        <w:rPr>
          <w:rFonts w:ascii="Times New Roman" w:hAnsi="Times New Roman" w:cs="Times New Roman"/>
          <w:sz w:val="24"/>
          <w:szCs w:val="24"/>
        </w:rPr>
        <w:t>SI</w:t>
      </w:r>
    </w:p>
    <w:p w:rsidR="003A79DC" w:rsidRPr="008A2B5B" w:rsidRDefault="003A79DC" w:rsidP="008730ED">
      <w:pPr>
        <w:spacing w:after="0" w:line="240" w:lineRule="auto"/>
        <w:jc w:val="center"/>
        <w:rPr>
          <w:rFonts w:ascii="Times New Roman" w:hAnsi="Times New Roman" w:cs="Times New Roman"/>
          <w:sz w:val="24"/>
          <w:szCs w:val="24"/>
        </w:rPr>
      </w:pPr>
    </w:p>
    <w:tbl>
      <w:tblPr>
        <w:tblW w:w="9571" w:type="dxa"/>
        <w:tblLayout w:type="fixed"/>
        <w:tblLook w:val="01E0" w:firstRow="1" w:lastRow="1" w:firstColumn="1" w:lastColumn="1" w:noHBand="0" w:noVBand="0"/>
      </w:tblPr>
      <w:tblGrid>
        <w:gridCol w:w="1668"/>
        <w:gridCol w:w="425"/>
        <w:gridCol w:w="709"/>
        <w:gridCol w:w="708"/>
        <w:gridCol w:w="6061"/>
      </w:tblGrid>
      <w:tr w:rsidR="004667DB" w:rsidRPr="008A2B5B" w:rsidTr="002E4B65">
        <w:tc>
          <w:tcPr>
            <w:tcW w:w="1668" w:type="dxa"/>
          </w:tcPr>
          <w:p w:rsidR="004667DB" w:rsidRPr="008A2B5B" w:rsidRDefault="004667DB" w:rsidP="008730ED">
            <w:pPr>
              <w:spacing w:after="0" w:line="240" w:lineRule="auto"/>
              <w:rPr>
                <w:rFonts w:ascii="Times New Roman" w:hAnsi="Times New Roman" w:cs="Times New Roman"/>
                <w:sz w:val="24"/>
                <w:szCs w:val="24"/>
              </w:rPr>
            </w:pPr>
          </w:p>
        </w:tc>
        <w:tc>
          <w:tcPr>
            <w:tcW w:w="7903" w:type="dxa"/>
            <w:gridSpan w:val="4"/>
          </w:tcPr>
          <w:p w:rsidR="00DD44C3" w:rsidRPr="008A2B5B" w:rsidRDefault="00DD44C3" w:rsidP="009F1072">
            <w:pPr>
              <w:pStyle w:val="BodyText2"/>
              <w:spacing w:after="0" w:line="240" w:lineRule="auto"/>
              <w:jc w:val="both"/>
            </w:pPr>
            <w:r w:rsidRPr="008A2B5B">
              <w:t xml:space="preserve">     </w:t>
            </w:r>
            <w:r w:rsidR="004667DB" w:rsidRPr="008A2B5B">
              <w:t>Kuzey Kıbrıs Türk Cumhuriyeti Cumhuriyet Meclisi aşağıdaki Yasayı yapar:</w:t>
            </w:r>
          </w:p>
        </w:tc>
      </w:tr>
      <w:tr w:rsidR="009F1072" w:rsidRPr="008A2B5B" w:rsidTr="002E4B65">
        <w:tc>
          <w:tcPr>
            <w:tcW w:w="1668" w:type="dxa"/>
          </w:tcPr>
          <w:p w:rsidR="009F1072" w:rsidRPr="008A2B5B" w:rsidRDefault="009F1072" w:rsidP="008730ED">
            <w:pPr>
              <w:spacing w:after="0" w:line="240" w:lineRule="auto"/>
              <w:rPr>
                <w:rFonts w:ascii="Times New Roman" w:hAnsi="Times New Roman" w:cs="Times New Roman"/>
                <w:sz w:val="24"/>
                <w:szCs w:val="24"/>
              </w:rPr>
            </w:pPr>
          </w:p>
        </w:tc>
        <w:tc>
          <w:tcPr>
            <w:tcW w:w="7903" w:type="dxa"/>
            <w:gridSpan w:val="4"/>
          </w:tcPr>
          <w:p w:rsidR="009F1072" w:rsidRPr="008A2B5B" w:rsidRDefault="009F1072" w:rsidP="009F1072">
            <w:pPr>
              <w:pStyle w:val="BodyText2"/>
              <w:spacing w:after="0" w:line="240" w:lineRule="auto"/>
              <w:jc w:val="both"/>
            </w:pPr>
          </w:p>
        </w:tc>
      </w:tr>
      <w:tr w:rsidR="00DD44C3" w:rsidRPr="008A2B5B" w:rsidTr="007C4C3D">
        <w:tc>
          <w:tcPr>
            <w:tcW w:w="1668" w:type="dxa"/>
          </w:tcPr>
          <w:p w:rsidR="00DD44C3" w:rsidRPr="008A2B5B" w:rsidRDefault="00DD44C3"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Kısa İsim</w:t>
            </w:r>
          </w:p>
          <w:p w:rsidR="00DD44C3" w:rsidRPr="008A2B5B" w:rsidRDefault="00DD44C3"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33/1993</w:t>
            </w:r>
          </w:p>
          <w:p w:rsidR="00DD44C3" w:rsidRPr="008A2B5B" w:rsidRDefault="00DD44C3"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 xml:space="preserve">    59/1994</w:t>
            </w:r>
          </w:p>
          <w:p w:rsidR="00DD44C3" w:rsidRPr="008A2B5B" w:rsidRDefault="00DD44C3"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 xml:space="preserve">    17/2001</w:t>
            </w:r>
          </w:p>
        </w:tc>
        <w:tc>
          <w:tcPr>
            <w:tcW w:w="7903" w:type="dxa"/>
            <w:gridSpan w:val="4"/>
          </w:tcPr>
          <w:p w:rsidR="00DD44C3" w:rsidRPr="008A2B5B" w:rsidRDefault="00DD44C3" w:rsidP="008730ED">
            <w:pPr>
              <w:pStyle w:val="BodyText2"/>
              <w:spacing w:after="0" w:line="240" w:lineRule="auto"/>
              <w:jc w:val="both"/>
            </w:pPr>
            <w:r w:rsidRPr="008A2B5B">
              <w:t>1. Bu Yasa, Kuzey Kıbrıs Türk Cumhuriyeti Kalkınma Bankası Teşkilat (Değişiklik) Yasa Tasarısı olarak isimlendirilir ve aşağıda “Esas Yasa” olarak anılan Kuzey Kıbrıs Türk Cumhuriyeti Kalkınma Bankası Teşkilat Yasası ile birlikte okunur.</w:t>
            </w:r>
          </w:p>
        </w:tc>
      </w:tr>
      <w:tr w:rsidR="007A6AA6" w:rsidRPr="008A2B5B" w:rsidTr="007C4C3D">
        <w:tc>
          <w:tcPr>
            <w:tcW w:w="1668" w:type="dxa"/>
          </w:tcPr>
          <w:p w:rsidR="007A6AA6" w:rsidRPr="008A2B5B" w:rsidRDefault="007A6AA6" w:rsidP="008730ED">
            <w:pPr>
              <w:spacing w:after="0" w:line="240" w:lineRule="auto"/>
              <w:rPr>
                <w:rFonts w:ascii="Times New Roman" w:hAnsi="Times New Roman" w:cs="Times New Roman"/>
                <w:sz w:val="24"/>
                <w:szCs w:val="24"/>
              </w:rPr>
            </w:pPr>
          </w:p>
        </w:tc>
        <w:tc>
          <w:tcPr>
            <w:tcW w:w="7903" w:type="dxa"/>
            <w:gridSpan w:val="4"/>
          </w:tcPr>
          <w:p w:rsidR="007A6AA6" w:rsidRPr="008A2B5B" w:rsidRDefault="007A6AA6" w:rsidP="008730ED">
            <w:pPr>
              <w:pStyle w:val="BodyText2"/>
              <w:spacing w:after="0" w:line="240" w:lineRule="auto"/>
              <w:jc w:val="both"/>
            </w:pPr>
          </w:p>
        </w:tc>
      </w:tr>
      <w:tr w:rsidR="00BB47C2" w:rsidRPr="008A2B5B" w:rsidTr="002E4B65">
        <w:tc>
          <w:tcPr>
            <w:tcW w:w="1668" w:type="dxa"/>
          </w:tcPr>
          <w:p w:rsidR="00BB47C2" w:rsidRPr="008A2B5B" w:rsidRDefault="00BB47C2"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Esas Yasanın 4’üncü Maddesinin</w:t>
            </w:r>
          </w:p>
        </w:tc>
        <w:tc>
          <w:tcPr>
            <w:tcW w:w="425" w:type="dxa"/>
          </w:tcPr>
          <w:p w:rsidR="00BB47C2" w:rsidRPr="008A2B5B" w:rsidRDefault="004667DB" w:rsidP="008730ED">
            <w:pPr>
              <w:spacing w:after="0" w:line="240" w:lineRule="auto"/>
              <w:rPr>
                <w:rFonts w:ascii="Times New Roman" w:eastAsia="Times New Roman" w:hAnsi="Times New Roman" w:cs="Times New Roman"/>
                <w:sz w:val="24"/>
                <w:szCs w:val="24"/>
              </w:rPr>
            </w:pPr>
            <w:r w:rsidRPr="008A2B5B">
              <w:rPr>
                <w:rFonts w:ascii="Times New Roman" w:eastAsia="Times New Roman" w:hAnsi="Times New Roman" w:cs="Times New Roman"/>
                <w:sz w:val="24"/>
                <w:szCs w:val="24"/>
              </w:rPr>
              <w:t>2.</w:t>
            </w:r>
          </w:p>
        </w:tc>
        <w:tc>
          <w:tcPr>
            <w:tcW w:w="709" w:type="dxa"/>
          </w:tcPr>
          <w:p w:rsidR="00BB47C2" w:rsidRPr="008A2B5B" w:rsidRDefault="00BB47C2" w:rsidP="008730ED">
            <w:pPr>
              <w:pStyle w:val="BodyText2"/>
              <w:spacing w:after="0" w:line="240" w:lineRule="auto"/>
              <w:jc w:val="both"/>
            </w:pPr>
            <w:r w:rsidRPr="008A2B5B">
              <w:t>(1)</w:t>
            </w:r>
          </w:p>
        </w:tc>
        <w:tc>
          <w:tcPr>
            <w:tcW w:w="6769" w:type="dxa"/>
            <w:gridSpan w:val="2"/>
          </w:tcPr>
          <w:p w:rsidR="00BB47C2" w:rsidRPr="008A2B5B" w:rsidRDefault="00BB47C2" w:rsidP="008730ED">
            <w:pPr>
              <w:pStyle w:val="BodyText2"/>
              <w:spacing w:after="0" w:line="240" w:lineRule="auto"/>
              <w:jc w:val="both"/>
            </w:pPr>
            <w:r w:rsidRPr="008A2B5B">
              <w:t>Esas Yasa, 4’üncü maddesinin (1)’inci fıkrası kaldırılmak ve yerine aşağıdaki yeni (1)’inci fıkra konmak suretiyle değiştirilir:</w:t>
            </w:r>
          </w:p>
          <w:p w:rsidR="00BB47C2" w:rsidRPr="008A2B5B" w:rsidRDefault="00BB47C2" w:rsidP="008730ED">
            <w:pPr>
              <w:pStyle w:val="BodyText2"/>
              <w:spacing w:after="0" w:line="240" w:lineRule="auto"/>
              <w:jc w:val="both"/>
            </w:pPr>
          </w:p>
        </w:tc>
      </w:tr>
      <w:tr w:rsidR="00BB47C2" w:rsidRPr="008A2B5B" w:rsidTr="002E4B65">
        <w:tc>
          <w:tcPr>
            <w:tcW w:w="1668" w:type="dxa"/>
          </w:tcPr>
          <w:p w:rsidR="00BB47C2" w:rsidRPr="008A2B5B" w:rsidRDefault="00BB47C2"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Değiştirilmesi</w:t>
            </w:r>
          </w:p>
        </w:tc>
        <w:tc>
          <w:tcPr>
            <w:tcW w:w="425" w:type="dxa"/>
          </w:tcPr>
          <w:p w:rsidR="00BB47C2" w:rsidRPr="008A2B5B" w:rsidRDefault="00BB47C2" w:rsidP="008730ED">
            <w:pPr>
              <w:spacing w:after="0" w:line="240" w:lineRule="auto"/>
              <w:rPr>
                <w:rFonts w:ascii="Times New Roman" w:eastAsia="Times New Roman" w:hAnsi="Times New Roman" w:cs="Times New Roman"/>
                <w:sz w:val="24"/>
                <w:szCs w:val="24"/>
              </w:rPr>
            </w:pPr>
          </w:p>
        </w:tc>
        <w:tc>
          <w:tcPr>
            <w:tcW w:w="709" w:type="dxa"/>
          </w:tcPr>
          <w:p w:rsidR="00BB47C2" w:rsidRPr="008A2B5B" w:rsidRDefault="00BB47C2" w:rsidP="008730ED">
            <w:pPr>
              <w:pStyle w:val="BodyText2"/>
              <w:spacing w:after="0" w:line="240" w:lineRule="auto"/>
            </w:pPr>
          </w:p>
        </w:tc>
        <w:tc>
          <w:tcPr>
            <w:tcW w:w="708" w:type="dxa"/>
          </w:tcPr>
          <w:p w:rsidR="00BB47C2" w:rsidRPr="008A2B5B" w:rsidRDefault="00DD44C3" w:rsidP="008730ED">
            <w:pPr>
              <w:pStyle w:val="BodyText2"/>
              <w:spacing w:after="0" w:line="240" w:lineRule="auto"/>
            </w:pPr>
            <w:r w:rsidRPr="008A2B5B">
              <w:t xml:space="preserve"> </w:t>
            </w:r>
            <w:r w:rsidR="00BB47C2" w:rsidRPr="008A2B5B">
              <w:t>“(1)</w:t>
            </w:r>
          </w:p>
        </w:tc>
        <w:tc>
          <w:tcPr>
            <w:tcW w:w="6061" w:type="dxa"/>
          </w:tcPr>
          <w:p w:rsidR="00DD44C3" w:rsidRPr="008A2B5B" w:rsidRDefault="00CC0914" w:rsidP="008730ED">
            <w:pPr>
              <w:pStyle w:val="BodyText2"/>
              <w:spacing w:after="0" w:line="240" w:lineRule="auto"/>
              <w:jc w:val="both"/>
            </w:pPr>
            <w:r w:rsidRPr="008A2B5B">
              <w:t>Kalkınma Bankasının görevleri, Bankada istihdam edilecek yeterli sayıda Yöneticilik ve Genel Hizmetler Sınıfına atanan sürekli personel, sözleşmeli personel ve işçiler eliyle yürütülür.</w:t>
            </w:r>
            <w:r w:rsidR="00A06BF5" w:rsidRPr="008A2B5B">
              <w:t>”</w:t>
            </w:r>
          </w:p>
        </w:tc>
      </w:tr>
      <w:tr w:rsidR="008730ED" w:rsidRPr="008A2B5B" w:rsidTr="008730ED">
        <w:trPr>
          <w:trHeight w:val="148"/>
        </w:trPr>
        <w:tc>
          <w:tcPr>
            <w:tcW w:w="1668" w:type="dxa"/>
          </w:tcPr>
          <w:p w:rsidR="008730ED" w:rsidRPr="008A2B5B" w:rsidRDefault="008730ED" w:rsidP="008730ED">
            <w:pPr>
              <w:spacing w:after="0" w:line="240" w:lineRule="auto"/>
              <w:rPr>
                <w:rFonts w:ascii="Times New Roman" w:hAnsi="Times New Roman" w:cs="Times New Roman"/>
                <w:sz w:val="24"/>
                <w:szCs w:val="24"/>
              </w:rPr>
            </w:pPr>
          </w:p>
        </w:tc>
        <w:tc>
          <w:tcPr>
            <w:tcW w:w="425" w:type="dxa"/>
          </w:tcPr>
          <w:p w:rsidR="008730ED" w:rsidRPr="008A2B5B" w:rsidRDefault="008730ED" w:rsidP="008730ED">
            <w:pPr>
              <w:spacing w:after="0" w:line="240" w:lineRule="auto"/>
              <w:rPr>
                <w:rFonts w:ascii="Times New Roman" w:eastAsia="Times New Roman" w:hAnsi="Times New Roman" w:cs="Times New Roman"/>
                <w:sz w:val="24"/>
                <w:szCs w:val="24"/>
              </w:rPr>
            </w:pPr>
          </w:p>
        </w:tc>
        <w:tc>
          <w:tcPr>
            <w:tcW w:w="709" w:type="dxa"/>
          </w:tcPr>
          <w:p w:rsidR="008730ED" w:rsidRPr="008A2B5B" w:rsidRDefault="008730ED" w:rsidP="008730ED">
            <w:pPr>
              <w:pStyle w:val="BodyText2"/>
              <w:spacing w:after="0" w:line="240" w:lineRule="auto"/>
            </w:pPr>
          </w:p>
        </w:tc>
        <w:tc>
          <w:tcPr>
            <w:tcW w:w="708" w:type="dxa"/>
          </w:tcPr>
          <w:p w:rsidR="008730ED" w:rsidRPr="008A2B5B" w:rsidRDefault="008730ED" w:rsidP="008730ED">
            <w:pPr>
              <w:pStyle w:val="BodyText2"/>
              <w:spacing w:after="0" w:line="240" w:lineRule="auto"/>
            </w:pPr>
          </w:p>
        </w:tc>
        <w:tc>
          <w:tcPr>
            <w:tcW w:w="6061" w:type="dxa"/>
          </w:tcPr>
          <w:p w:rsidR="008730ED" w:rsidRPr="008A2B5B" w:rsidRDefault="008730ED" w:rsidP="008730ED">
            <w:pPr>
              <w:pStyle w:val="BodyText2"/>
              <w:spacing w:after="0" w:line="240" w:lineRule="auto"/>
              <w:jc w:val="both"/>
            </w:pPr>
          </w:p>
        </w:tc>
      </w:tr>
      <w:tr w:rsidR="00BB47C2" w:rsidRPr="008A2B5B" w:rsidTr="002E4B65">
        <w:tc>
          <w:tcPr>
            <w:tcW w:w="1668" w:type="dxa"/>
          </w:tcPr>
          <w:p w:rsidR="00BB47C2" w:rsidRPr="008A2B5B" w:rsidRDefault="00BB47C2" w:rsidP="008730ED">
            <w:pPr>
              <w:spacing w:after="0" w:line="240" w:lineRule="auto"/>
              <w:rPr>
                <w:rFonts w:ascii="Times New Roman" w:hAnsi="Times New Roman" w:cs="Times New Roman"/>
                <w:sz w:val="24"/>
                <w:szCs w:val="24"/>
              </w:rPr>
            </w:pPr>
          </w:p>
        </w:tc>
        <w:tc>
          <w:tcPr>
            <w:tcW w:w="425" w:type="dxa"/>
          </w:tcPr>
          <w:p w:rsidR="00BB47C2" w:rsidRPr="008A2B5B" w:rsidRDefault="00BB47C2" w:rsidP="008730ED">
            <w:pPr>
              <w:spacing w:after="0" w:line="240" w:lineRule="auto"/>
              <w:rPr>
                <w:rFonts w:ascii="Times New Roman" w:hAnsi="Times New Roman" w:cs="Times New Roman"/>
                <w:sz w:val="24"/>
                <w:szCs w:val="24"/>
              </w:rPr>
            </w:pPr>
          </w:p>
        </w:tc>
        <w:tc>
          <w:tcPr>
            <w:tcW w:w="709" w:type="dxa"/>
          </w:tcPr>
          <w:p w:rsidR="00BB47C2" w:rsidRPr="008A2B5B" w:rsidRDefault="00BB47C2" w:rsidP="008730ED">
            <w:pPr>
              <w:pStyle w:val="BodyText2"/>
              <w:spacing w:after="0" w:line="240" w:lineRule="auto"/>
            </w:pPr>
            <w:r w:rsidRPr="008A2B5B">
              <w:t>(2)</w:t>
            </w:r>
          </w:p>
        </w:tc>
        <w:tc>
          <w:tcPr>
            <w:tcW w:w="6769" w:type="dxa"/>
            <w:gridSpan w:val="2"/>
          </w:tcPr>
          <w:p w:rsidR="00DD44C3" w:rsidRPr="008A2B5B" w:rsidRDefault="00BB47C2" w:rsidP="009F1072">
            <w:pPr>
              <w:pStyle w:val="BodyText2"/>
              <w:spacing w:after="0" w:line="240" w:lineRule="auto"/>
              <w:jc w:val="both"/>
            </w:pPr>
            <w:r w:rsidRPr="008A2B5B">
              <w:t>Esas Yasa, 4’üncü maddesinin (3)’üncü fıkrası kaldırılmak ve yerine aşağıdaki yeni (3)’üncü fıkra konmak suretiyle değiştirilir:</w:t>
            </w:r>
          </w:p>
        </w:tc>
      </w:tr>
      <w:tr w:rsidR="009F1072" w:rsidRPr="008A2B5B" w:rsidTr="002E4B65">
        <w:tc>
          <w:tcPr>
            <w:tcW w:w="1668" w:type="dxa"/>
          </w:tcPr>
          <w:p w:rsidR="009F1072" w:rsidRPr="008A2B5B" w:rsidRDefault="009F1072" w:rsidP="008730ED">
            <w:pPr>
              <w:spacing w:after="0" w:line="240" w:lineRule="auto"/>
              <w:rPr>
                <w:rFonts w:ascii="Times New Roman" w:hAnsi="Times New Roman" w:cs="Times New Roman"/>
                <w:sz w:val="24"/>
                <w:szCs w:val="24"/>
              </w:rPr>
            </w:pPr>
          </w:p>
        </w:tc>
        <w:tc>
          <w:tcPr>
            <w:tcW w:w="425" w:type="dxa"/>
          </w:tcPr>
          <w:p w:rsidR="009F1072" w:rsidRPr="008A2B5B" w:rsidRDefault="009F1072" w:rsidP="008730ED">
            <w:pPr>
              <w:spacing w:after="0" w:line="240" w:lineRule="auto"/>
              <w:rPr>
                <w:rFonts w:ascii="Times New Roman" w:hAnsi="Times New Roman" w:cs="Times New Roman"/>
                <w:sz w:val="24"/>
                <w:szCs w:val="24"/>
              </w:rPr>
            </w:pPr>
          </w:p>
        </w:tc>
        <w:tc>
          <w:tcPr>
            <w:tcW w:w="709" w:type="dxa"/>
          </w:tcPr>
          <w:p w:rsidR="009F1072" w:rsidRPr="008A2B5B" w:rsidRDefault="009F1072" w:rsidP="008730ED">
            <w:pPr>
              <w:pStyle w:val="BodyText2"/>
              <w:spacing w:after="0" w:line="240" w:lineRule="auto"/>
            </w:pPr>
          </w:p>
        </w:tc>
        <w:tc>
          <w:tcPr>
            <w:tcW w:w="6769" w:type="dxa"/>
            <w:gridSpan w:val="2"/>
          </w:tcPr>
          <w:p w:rsidR="009F1072" w:rsidRPr="008A2B5B" w:rsidRDefault="009F1072" w:rsidP="009F1072">
            <w:pPr>
              <w:pStyle w:val="BodyText2"/>
              <w:spacing w:after="0" w:line="240" w:lineRule="auto"/>
              <w:jc w:val="both"/>
            </w:pPr>
          </w:p>
        </w:tc>
      </w:tr>
      <w:tr w:rsidR="00BB47C2" w:rsidRPr="008A2B5B" w:rsidTr="002E4B65">
        <w:tc>
          <w:tcPr>
            <w:tcW w:w="1668" w:type="dxa"/>
          </w:tcPr>
          <w:p w:rsidR="00BB47C2" w:rsidRPr="008A2B5B" w:rsidRDefault="00BB47C2" w:rsidP="008730ED">
            <w:pPr>
              <w:spacing w:after="0" w:line="240" w:lineRule="auto"/>
              <w:rPr>
                <w:rFonts w:ascii="Times New Roman" w:hAnsi="Times New Roman" w:cs="Times New Roman"/>
                <w:sz w:val="24"/>
                <w:szCs w:val="24"/>
              </w:rPr>
            </w:pPr>
          </w:p>
        </w:tc>
        <w:tc>
          <w:tcPr>
            <w:tcW w:w="425" w:type="dxa"/>
          </w:tcPr>
          <w:p w:rsidR="00BB47C2" w:rsidRPr="008A2B5B" w:rsidRDefault="00BB47C2" w:rsidP="008730ED">
            <w:pPr>
              <w:spacing w:after="0" w:line="240" w:lineRule="auto"/>
              <w:rPr>
                <w:rFonts w:ascii="Times New Roman" w:hAnsi="Times New Roman" w:cs="Times New Roman"/>
                <w:sz w:val="24"/>
                <w:szCs w:val="24"/>
              </w:rPr>
            </w:pPr>
          </w:p>
        </w:tc>
        <w:tc>
          <w:tcPr>
            <w:tcW w:w="709" w:type="dxa"/>
          </w:tcPr>
          <w:p w:rsidR="00BB47C2" w:rsidRPr="008A2B5B" w:rsidRDefault="00BB47C2" w:rsidP="008730ED">
            <w:pPr>
              <w:pStyle w:val="BodyText2"/>
              <w:spacing w:after="0" w:line="240" w:lineRule="auto"/>
            </w:pPr>
          </w:p>
        </w:tc>
        <w:tc>
          <w:tcPr>
            <w:tcW w:w="708" w:type="dxa"/>
          </w:tcPr>
          <w:p w:rsidR="00BB47C2" w:rsidRPr="008A2B5B" w:rsidRDefault="00DD44C3" w:rsidP="008730ED">
            <w:pPr>
              <w:pStyle w:val="BodyText2"/>
              <w:spacing w:after="0" w:line="240" w:lineRule="auto"/>
            </w:pPr>
            <w:r w:rsidRPr="008A2B5B">
              <w:t xml:space="preserve"> </w:t>
            </w:r>
            <w:r w:rsidR="00BB47C2" w:rsidRPr="008A2B5B">
              <w:t>“(3)</w:t>
            </w:r>
          </w:p>
        </w:tc>
        <w:tc>
          <w:tcPr>
            <w:tcW w:w="6061" w:type="dxa"/>
          </w:tcPr>
          <w:p w:rsidR="00BB47C2" w:rsidRPr="008A2B5B" w:rsidRDefault="00BB47C2" w:rsidP="005F6800">
            <w:pPr>
              <w:tabs>
                <w:tab w:val="left" w:pos="-1952"/>
              </w:tabs>
              <w:spacing w:after="0" w:line="240" w:lineRule="auto"/>
              <w:ind w:right="-1"/>
              <w:jc w:val="both"/>
              <w:rPr>
                <w:rFonts w:ascii="Times New Roman" w:hAnsi="Times New Roman" w:cs="Times New Roman"/>
                <w:sz w:val="24"/>
                <w:szCs w:val="24"/>
              </w:rPr>
            </w:pPr>
            <w:r w:rsidRPr="008A2B5B">
              <w:rPr>
                <w:rFonts w:ascii="Times New Roman" w:eastAsia="Times New Roman" w:hAnsi="Times New Roman" w:cs="Times New Roman"/>
                <w:sz w:val="24"/>
                <w:szCs w:val="24"/>
              </w:rPr>
              <w:t xml:space="preserve">Özel bir meslek ve uzmanlık öğrenim ve bilgisini gerektiren görevlerde, bu Yasa kuralları çerçevesinde sözleşme ile çalıştırılacak kişiler sözleşmeli personeldir. </w:t>
            </w:r>
            <w:r w:rsidR="00A06BF5" w:rsidRPr="008A2B5B">
              <w:rPr>
                <w:rFonts w:ascii="Times New Roman" w:eastAsia="Times New Roman" w:hAnsi="Times New Roman" w:cs="Times New Roman"/>
                <w:sz w:val="24"/>
                <w:szCs w:val="24"/>
              </w:rPr>
              <w:t>Sözleşmeli personelin</w:t>
            </w:r>
            <w:r w:rsidRPr="008A2B5B">
              <w:rPr>
                <w:rFonts w:ascii="Times New Roman" w:eastAsia="Times New Roman" w:hAnsi="Times New Roman" w:cs="Times New Roman"/>
                <w:sz w:val="24"/>
                <w:szCs w:val="24"/>
              </w:rPr>
              <w:t xml:space="preserve"> hizmete alınmaları ve sözleşmelerinin yenilenmesi, </w:t>
            </w:r>
            <w:r w:rsidR="00DD44C3" w:rsidRPr="008A2B5B">
              <w:rPr>
                <w:rFonts w:ascii="Times New Roman" w:eastAsia="Times New Roman" w:hAnsi="Times New Roman" w:cs="Times New Roman"/>
                <w:sz w:val="24"/>
                <w:szCs w:val="24"/>
              </w:rPr>
              <w:t xml:space="preserve">Maliye Bakanlığının görüşü alınarak </w:t>
            </w:r>
            <w:r w:rsidRPr="008A2B5B">
              <w:rPr>
                <w:rFonts w:ascii="Times New Roman" w:eastAsia="Times New Roman" w:hAnsi="Times New Roman" w:cs="Times New Roman"/>
                <w:sz w:val="24"/>
                <w:szCs w:val="24"/>
              </w:rPr>
              <w:t>Genel Müdürün önerisi ile Yönetim Kurulunca sözleşme koşullarına bağlı olarak yapılır.</w:t>
            </w:r>
            <w:r w:rsidR="00CC14F0" w:rsidRPr="008A2B5B">
              <w:rPr>
                <w:rFonts w:ascii="Times New Roman" w:eastAsia="Times New Roman" w:hAnsi="Times New Roman" w:cs="Times New Roman"/>
                <w:sz w:val="24"/>
                <w:szCs w:val="24"/>
              </w:rPr>
              <w:t xml:space="preserve"> Sözleşmeli personel ile imzalanacak sözleşmelerin süreleri her defa için iki </w:t>
            </w:r>
            <w:r w:rsidR="00A06BF5" w:rsidRPr="008A2B5B">
              <w:rPr>
                <w:rFonts w:ascii="Times New Roman" w:eastAsia="Times New Roman" w:hAnsi="Times New Roman" w:cs="Times New Roman"/>
                <w:sz w:val="24"/>
                <w:szCs w:val="24"/>
              </w:rPr>
              <w:t xml:space="preserve">(2) </w:t>
            </w:r>
            <w:r w:rsidR="00CC14F0" w:rsidRPr="008A2B5B">
              <w:rPr>
                <w:rFonts w:ascii="Times New Roman" w:eastAsia="Times New Roman" w:hAnsi="Times New Roman" w:cs="Times New Roman"/>
                <w:sz w:val="24"/>
                <w:szCs w:val="24"/>
              </w:rPr>
              <w:t>yılı aşamaz ve herhangi bir zamanda iptal şartını içerir.</w:t>
            </w:r>
            <w:r w:rsidR="00A06BF5" w:rsidRPr="008A2B5B">
              <w:rPr>
                <w:rFonts w:ascii="Times New Roman" w:eastAsia="Times New Roman" w:hAnsi="Times New Roman" w:cs="Times New Roman"/>
                <w:sz w:val="24"/>
                <w:szCs w:val="24"/>
              </w:rPr>
              <w:t>”</w:t>
            </w:r>
          </w:p>
        </w:tc>
      </w:tr>
      <w:tr w:rsidR="0077504B" w:rsidRPr="008A2B5B" w:rsidTr="002E4B65">
        <w:tc>
          <w:tcPr>
            <w:tcW w:w="1668" w:type="dxa"/>
          </w:tcPr>
          <w:p w:rsidR="0077504B" w:rsidRPr="008A2B5B" w:rsidRDefault="0077504B" w:rsidP="008730ED">
            <w:pPr>
              <w:spacing w:after="0" w:line="240" w:lineRule="auto"/>
              <w:rPr>
                <w:rFonts w:ascii="Times New Roman" w:hAnsi="Times New Roman" w:cs="Times New Roman"/>
                <w:sz w:val="24"/>
                <w:szCs w:val="24"/>
              </w:rPr>
            </w:pPr>
          </w:p>
        </w:tc>
        <w:tc>
          <w:tcPr>
            <w:tcW w:w="425" w:type="dxa"/>
          </w:tcPr>
          <w:p w:rsidR="0077504B" w:rsidRPr="008A2B5B" w:rsidRDefault="0077504B" w:rsidP="008730ED">
            <w:pPr>
              <w:spacing w:after="0" w:line="240" w:lineRule="auto"/>
              <w:rPr>
                <w:rFonts w:ascii="Times New Roman" w:hAnsi="Times New Roman" w:cs="Times New Roman"/>
                <w:sz w:val="24"/>
                <w:szCs w:val="24"/>
              </w:rPr>
            </w:pPr>
          </w:p>
        </w:tc>
        <w:tc>
          <w:tcPr>
            <w:tcW w:w="709" w:type="dxa"/>
          </w:tcPr>
          <w:p w:rsidR="0077504B" w:rsidRPr="008A2B5B" w:rsidRDefault="0077504B" w:rsidP="008730ED">
            <w:pPr>
              <w:pStyle w:val="BodyText2"/>
              <w:spacing w:after="0" w:line="240" w:lineRule="auto"/>
            </w:pPr>
          </w:p>
        </w:tc>
        <w:tc>
          <w:tcPr>
            <w:tcW w:w="708" w:type="dxa"/>
          </w:tcPr>
          <w:p w:rsidR="0077504B" w:rsidRPr="008A2B5B" w:rsidRDefault="0077504B" w:rsidP="008730ED">
            <w:pPr>
              <w:pStyle w:val="BodyText2"/>
              <w:spacing w:after="0" w:line="240" w:lineRule="auto"/>
            </w:pPr>
          </w:p>
        </w:tc>
        <w:tc>
          <w:tcPr>
            <w:tcW w:w="6061" w:type="dxa"/>
          </w:tcPr>
          <w:p w:rsidR="0077504B" w:rsidRPr="008A2B5B" w:rsidRDefault="0077504B" w:rsidP="008730ED">
            <w:pPr>
              <w:tabs>
                <w:tab w:val="left" w:pos="-1952"/>
              </w:tabs>
              <w:spacing w:after="0" w:line="240" w:lineRule="auto"/>
              <w:ind w:right="-1"/>
              <w:jc w:val="both"/>
              <w:rPr>
                <w:rFonts w:ascii="Times New Roman" w:eastAsia="Times New Roman" w:hAnsi="Times New Roman" w:cs="Times New Roman"/>
                <w:sz w:val="24"/>
                <w:szCs w:val="24"/>
              </w:rPr>
            </w:pPr>
          </w:p>
        </w:tc>
      </w:tr>
      <w:tr w:rsidR="00BB47C2" w:rsidRPr="008A2B5B" w:rsidTr="002E4B65">
        <w:tc>
          <w:tcPr>
            <w:tcW w:w="1668" w:type="dxa"/>
          </w:tcPr>
          <w:p w:rsidR="00BB47C2" w:rsidRPr="008A2B5B" w:rsidRDefault="00BB47C2" w:rsidP="008730ED">
            <w:pPr>
              <w:spacing w:after="0" w:line="240" w:lineRule="auto"/>
              <w:rPr>
                <w:rFonts w:ascii="Times New Roman" w:hAnsi="Times New Roman" w:cs="Times New Roman"/>
                <w:sz w:val="24"/>
                <w:szCs w:val="24"/>
              </w:rPr>
            </w:pPr>
          </w:p>
        </w:tc>
        <w:tc>
          <w:tcPr>
            <w:tcW w:w="425" w:type="dxa"/>
          </w:tcPr>
          <w:p w:rsidR="00BB47C2" w:rsidRPr="008A2B5B" w:rsidRDefault="00BB47C2" w:rsidP="008730ED">
            <w:pPr>
              <w:spacing w:after="0" w:line="240" w:lineRule="auto"/>
              <w:rPr>
                <w:rFonts w:ascii="Times New Roman" w:hAnsi="Times New Roman" w:cs="Times New Roman"/>
                <w:sz w:val="24"/>
                <w:szCs w:val="24"/>
              </w:rPr>
            </w:pPr>
          </w:p>
        </w:tc>
        <w:tc>
          <w:tcPr>
            <w:tcW w:w="709" w:type="dxa"/>
          </w:tcPr>
          <w:p w:rsidR="00BB47C2" w:rsidRPr="008A2B5B" w:rsidRDefault="00BB47C2" w:rsidP="008730ED">
            <w:pPr>
              <w:pStyle w:val="BodyText2"/>
              <w:spacing w:after="0" w:line="240" w:lineRule="auto"/>
            </w:pPr>
            <w:r w:rsidRPr="008A2B5B">
              <w:t>(3)</w:t>
            </w:r>
          </w:p>
        </w:tc>
        <w:tc>
          <w:tcPr>
            <w:tcW w:w="6769" w:type="dxa"/>
            <w:gridSpan w:val="2"/>
          </w:tcPr>
          <w:p w:rsidR="00BB47C2" w:rsidRPr="008A2B5B" w:rsidRDefault="00BB47C2" w:rsidP="008730ED">
            <w:pPr>
              <w:tabs>
                <w:tab w:val="left" w:pos="-1952"/>
              </w:tabs>
              <w:spacing w:after="0" w:line="240" w:lineRule="auto"/>
              <w:ind w:right="-1"/>
              <w:jc w:val="both"/>
              <w:rPr>
                <w:rFonts w:ascii="Times New Roman" w:eastAsia="Times New Roman" w:hAnsi="Times New Roman" w:cs="Times New Roman"/>
                <w:sz w:val="24"/>
                <w:szCs w:val="24"/>
              </w:rPr>
            </w:pPr>
            <w:r w:rsidRPr="008A2B5B">
              <w:rPr>
                <w:rFonts w:ascii="Times New Roman" w:eastAsia="Times New Roman" w:hAnsi="Times New Roman" w:cs="Times New Roman"/>
                <w:sz w:val="24"/>
                <w:szCs w:val="24"/>
              </w:rPr>
              <w:t xml:space="preserve">Esas Yasa, 4’üncü maddesinin (4)’üncü fıkrası kaldırılmak ve mevcut (5)’inci fıkra </w:t>
            </w:r>
            <w:r w:rsidR="00486D70" w:rsidRPr="008A2B5B">
              <w:rPr>
                <w:rFonts w:ascii="Times New Roman" w:eastAsia="Times New Roman" w:hAnsi="Times New Roman" w:cs="Times New Roman"/>
                <w:sz w:val="24"/>
                <w:szCs w:val="24"/>
              </w:rPr>
              <w:t xml:space="preserve">yeni </w:t>
            </w:r>
            <w:r w:rsidRPr="008A2B5B">
              <w:rPr>
                <w:rFonts w:ascii="Times New Roman" w:eastAsia="Times New Roman" w:hAnsi="Times New Roman" w:cs="Times New Roman"/>
                <w:sz w:val="24"/>
                <w:szCs w:val="24"/>
              </w:rPr>
              <w:t>(4)’üncü fıkra olarak yeniden sayılandır</w:t>
            </w:r>
            <w:r w:rsidR="00BE5F05" w:rsidRPr="008A2B5B">
              <w:rPr>
                <w:rFonts w:ascii="Times New Roman" w:eastAsia="Times New Roman" w:hAnsi="Times New Roman" w:cs="Times New Roman"/>
                <w:sz w:val="24"/>
                <w:szCs w:val="24"/>
              </w:rPr>
              <w:t>ıl</w:t>
            </w:r>
            <w:r w:rsidRPr="008A2B5B">
              <w:rPr>
                <w:rFonts w:ascii="Times New Roman" w:eastAsia="Times New Roman" w:hAnsi="Times New Roman" w:cs="Times New Roman"/>
                <w:sz w:val="24"/>
                <w:szCs w:val="24"/>
              </w:rPr>
              <w:t>mak suretiyle değiştirilir.</w:t>
            </w:r>
          </w:p>
        </w:tc>
      </w:tr>
      <w:tr w:rsidR="009F1072" w:rsidRPr="008A2B5B" w:rsidTr="002E4B65">
        <w:tc>
          <w:tcPr>
            <w:tcW w:w="1668" w:type="dxa"/>
          </w:tcPr>
          <w:p w:rsidR="009F1072" w:rsidRPr="008A2B5B" w:rsidRDefault="009F1072" w:rsidP="008730ED">
            <w:pPr>
              <w:spacing w:after="0" w:line="240" w:lineRule="auto"/>
              <w:rPr>
                <w:rFonts w:ascii="Times New Roman" w:hAnsi="Times New Roman" w:cs="Times New Roman"/>
                <w:sz w:val="24"/>
                <w:szCs w:val="24"/>
              </w:rPr>
            </w:pPr>
          </w:p>
        </w:tc>
        <w:tc>
          <w:tcPr>
            <w:tcW w:w="425" w:type="dxa"/>
          </w:tcPr>
          <w:p w:rsidR="009F1072" w:rsidRPr="008A2B5B" w:rsidRDefault="009F1072" w:rsidP="008730ED">
            <w:pPr>
              <w:spacing w:after="0" w:line="240" w:lineRule="auto"/>
              <w:rPr>
                <w:rFonts w:ascii="Times New Roman" w:hAnsi="Times New Roman" w:cs="Times New Roman"/>
                <w:sz w:val="24"/>
                <w:szCs w:val="24"/>
              </w:rPr>
            </w:pPr>
          </w:p>
        </w:tc>
        <w:tc>
          <w:tcPr>
            <w:tcW w:w="709" w:type="dxa"/>
          </w:tcPr>
          <w:p w:rsidR="009F1072" w:rsidRPr="008A2B5B" w:rsidRDefault="009F1072" w:rsidP="008730ED">
            <w:pPr>
              <w:pStyle w:val="BodyText2"/>
              <w:spacing w:after="0" w:line="240" w:lineRule="auto"/>
            </w:pPr>
          </w:p>
        </w:tc>
        <w:tc>
          <w:tcPr>
            <w:tcW w:w="6769" w:type="dxa"/>
            <w:gridSpan w:val="2"/>
          </w:tcPr>
          <w:p w:rsidR="009F1072" w:rsidRPr="008A2B5B" w:rsidRDefault="009F1072" w:rsidP="008730ED">
            <w:pPr>
              <w:tabs>
                <w:tab w:val="left" w:pos="-1952"/>
              </w:tabs>
              <w:spacing w:after="0" w:line="240" w:lineRule="auto"/>
              <w:ind w:right="-1"/>
              <w:jc w:val="both"/>
              <w:rPr>
                <w:rFonts w:ascii="Times New Roman" w:eastAsia="Times New Roman" w:hAnsi="Times New Roman" w:cs="Times New Roman"/>
                <w:sz w:val="24"/>
                <w:szCs w:val="24"/>
              </w:rPr>
            </w:pPr>
          </w:p>
        </w:tc>
      </w:tr>
    </w:tbl>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938"/>
      </w:tblGrid>
      <w:tr w:rsidR="008A2B5B" w:rsidRPr="008A2B5B" w:rsidTr="00FC40E3">
        <w:trPr>
          <w:trHeight w:val="432"/>
        </w:trPr>
        <w:tc>
          <w:tcPr>
            <w:tcW w:w="1668" w:type="dxa"/>
          </w:tcPr>
          <w:p w:rsidR="008A2B5B" w:rsidRPr="008A2B5B" w:rsidRDefault="008A2B5B" w:rsidP="009F1072">
            <w:pPr>
              <w:rPr>
                <w:rFonts w:ascii="Times New Roman" w:hAnsi="Times New Roman" w:cs="Times New Roman"/>
                <w:sz w:val="24"/>
                <w:szCs w:val="24"/>
              </w:rPr>
            </w:pPr>
            <w:r w:rsidRPr="008A2B5B">
              <w:rPr>
                <w:rFonts w:ascii="Times New Roman" w:hAnsi="Times New Roman" w:cs="Times New Roman"/>
                <w:sz w:val="24"/>
                <w:szCs w:val="24"/>
              </w:rPr>
              <w:t>Esas Yasanın 11’inci Maddesinin Değiştirilmesi</w:t>
            </w:r>
          </w:p>
        </w:tc>
        <w:tc>
          <w:tcPr>
            <w:tcW w:w="7938" w:type="dxa"/>
          </w:tcPr>
          <w:p w:rsidR="008A2B5B" w:rsidRPr="008A2B5B" w:rsidRDefault="008A2B5B" w:rsidP="008730ED">
            <w:pPr>
              <w:jc w:val="both"/>
              <w:rPr>
                <w:rFonts w:ascii="Times New Roman" w:hAnsi="Times New Roman" w:cs="Times New Roman"/>
                <w:sz w:val="24"/>
                <w:szCs w:val="24"/>
              </w:rPr>
            </w:pPr>
            <w:r w:rsidRPr="008A2B5B">
              <w:rPr>
                <w:rFonts w:ascii="Times New Roman" w:hAnsi="Times New Roman" w:cs="Times New Roman"/>
                <w:sz w:val="24"/>
                <w:szCs w:val="24"/>
              </w:rPr>
              <w:t>3. Esas Yasa, 11’inci maddesinin (4)’üncü fıkrası kaldırılmak ve mevcut (5)’inci fıkra yeni (4)’üncü fıkra olarak yeniden sayılandırılmak suretiyle değiştirilir.</w:t>
            </w:r>
          </w:p>
          <w:p w:rsidR="008A2B5B" w:rsidRPr="008A2B5B" w:rsidRDefault="008A2B5B" w:rsidP="008730ED">
            <w:pPr>
              <w:jc w:val="both"/>
              <w:rPr>
                <w:rFonts w:ascii="Times New Roman" w:hAnsi="Times New Roman" w:cs="Times New Roman"/>
                <w:sz w:val="24"/>
                <w:szCs w:val="24"/>
              </w:rPr>
            </w:pPr>
          </w:p>
        </w:tc>
      </w:tr>
      <w:tr w:rsidR="009F1072" w:rsidRPr="008A2B5B" w:rsidTr="009F1072">
        <w:trPr>
          <w:trHeight w:val="161"/>
        </w:trPr>
        <w:tc>
          <w:tcPr>
            <w:tcW w:w="1668" w:type="dxa"/>
          </w:tcPr>
          <w:p w:rsidR="009F1072" w:rsidRPr="008A2B5B" w:rsidRDefault="009F1072" w:rsidP="009F1072">
            <w:pPr>
              <w:rPr>
                <w:rFonts w:ascii="Times New Roman" w:hAnsi="Times New Roman" w:cs="Times New Roman"/>
                <w:sz w:val="24"/>
                <w:szCs w:val="24"/>
              </w:rPr>
            </w:pPr>
          </w:p>
        </w:tc>
        <w:tc>
          <w:tcPr>
            <w:tcW w:w="7938" w:type="dxa"/>
          </w:tcPr>
          <w:p w:rsidR="009F1072" w:rsidRPr="008A2B5B" w:rsidRDefault="009F1072" w:rsidP="009F1072">
            <w:pPr>
              <w:jc w:val="both"/>
              <w:rPr>
                <w:rFonts w:ascii="Times New Roman" w:hAnsi="Times New Roman" w:cs="Times New Roman"/>
                <w:sz w:val="24"/>
                <w:szCs w:val="24"/>
              </w:rPr>
            </w:pPr>
          </w:p>
        </w:tc>
      </w:tr>
    </w:tbl>
    <w:tbl>
      <w:tblPr>
        <w:tblW w:w="9571" w:type="dxa"/>
        <w:tblLayout w:type="fixed"/>
        <w:tblLook w:val="01E0" w:firstRow="1" w:lastRow="1" w:firstColumn="1" w:lastColumn="1" w:noHBand="0" w:noVBand="0"/>
      </w:tblPr>
      <w:tblGrid>
        <w:gridCol w:w="1668"/>
        <w:gridCol w:w="425"/>
        <w:gridCol w:w="1276"/>
        <w:gridCol w:w="567"/>
        <w:gridCol w:w="567"/>
        <w:gridCol w:w="5068"/>
      </w:tblGrid>
      <w:tr w:rsidR="008A2B5B" w:rsidRPr="008A2B5B" w:rsidTr="009064C9">
        <w:tc>
          <w:tcPr>
            <w:tcW w:w="1668" w:type="dxa"/>
          </w:tcPr>
          <w:p w:rsidR="008A2B5B" w:rsidRPr="008A2B5B" w:rsidRDefault="008A2B5B"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 xml:space="preserve">Esas Yasanın 15’inci Maddesinin </w:t>
            </w:r>
          </w:p>
        </w:tc>
        <w:tc>
          <w:tcPr>
            <w:tcW w:w="7903" w:type="dxa"/>
            <w:gridSpan w:val="5"/>
          </w:tcPr>
          <w:p w:rsidR="008A2B5B" w:rsidRPr="008A2B5B" w:rsidRDefault="008A2B5B" w:rsidP="008730ED">
            <w:pPr>
              <w:spacing w:after="0" w:line="240" w:lineRule="auto"/>
              <w:jc w:val="both"/>
              <w:rPr>
                <w:rFonts w:ascii="Times New Roman" w:hAnsi="Times New Roman" w:cs="Times New Roman"/>
                <w:sz w:val="24"/>
                <w:szCs w:val="24"/>
              </w:rPr>
            </w:pPr>
            <w:r w:rsidRPr="008A2B5B">
              <w:rPr>
                <w:rFonts w:ascii="Times New Roman" w:eastAsia="Times New Roman" w:hAnsi="Times New Roman" w:cs="Times New Roman"/>
                <w:sz w:val="24"/>
                <w:szCs w:val="24"/>
              </w:rPr>
              <w:t xml:space="preserve">4. </w:t>
            </w:r>
            <w:r w:rsidRPr="008A2B5B">
              <w:rPr>
                <w:rFonts w:ascii="Times New Roman" w:hAnsi="Times New Roman" w:cs="Times New Roman"/>
                <w:sz w:val="24"/>
                <w:szCs w:val="24"/>
              </w:rPr>
              <w:t xml:space="preserve">Esas Yasa, 15’inci maddesi kaldırılmak ve yerine aşağıdaki yeni </w:t>
            </w:r>
            <w:r>
              <w:rPr>
                <w:rFonts w:ascii="Times New Roman" w:hAnsi="Times New Roman" w:cs="Times New Roman"/>
                <w:sz w:val="24"/>
                <w:szCs w:val="24"/>
              </w:rPr>
              <w:t>15</w:t>
            </w:r>
            <w:r w:rsidR="005F6800">
              <w:rPr>
                <w:rFonts w:ascii="Times New Roman" w:hAnsi="Times New Roman" w:cs="Times New Roman"/>
                <w:sz w:val="24"/>
                <w:szCs w:val="24"/>
              </w:rPr>
              <w:t>’</w:t>
            </w:r>
            <w:r>
              <w:rPr>
                <w:rFonts w:ascii="Times New Roman" w:hAnsi="Times New Roman" w:cs="Times New Roman"/>
                <w:sz w:val="24"/>
                <w:szCs w:val="24"/>
              </w:rPr>
              <w:t>inci madde</w:t>
            </w:r>
            <w:r w:rsidRPr="008A2B5B">
              <w:rPr>
                <w:rFonts w:ascii="Times New Roman" w:hAnsi="Times New Roman" w:cs="Times New Roman"/>
                <w:sz w:val="24"/>
                <w:szCs w:val="24"/>
              </w:rPr>
              <w:t xml:space="preserve"> konmak suretiyle değiştirilir:</w:t>
            </w:r>
          </w:p>
        </w:tc>
      </w:tr>
      <w:tr w:rsidR="009F1072" w:rsidRPr="008A2B5B" w:rsidTr="009F1072">
        <w:tc>
          <w:tcPr>
            <w:tcW w:w="1668" w:type="dxa"/>
          </w:tcPr>
          <w:p w:rsidR="009F1072" w:rsidRPr="008A2B5B" w:rsidRDefault="009F1072"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Değiştirilmesi</w:t>
            </w:r>
          </w:p>
        </w:tc>
        <w:tc>
          <w:tcPr>
            <w:tcW w:w="425" w:type="dxa"/>
          </w:tcPr>
          <w:p w:rsidR="009F1072" w:rsidRPr="008A2B5B" w:rsidRDefault="009F1072" w:rsidP="008730ED">
            <w:pPr>
              <w:spacing w:after="0" w:line="240" w:lineRule="auto"/>
              <w:rPr>
                <w:rFonts w:ascii="Times New Roman" w:eastAsia="Times New Roman" w:hAnsi="Times New Roman" w:cs="Times New Roman"/>
                <w:sz w:val="24"/>
                <w:szCs w:val="24"/>
              </w:rPr>
            </w:pPr>
          </w:p>
        </w:tc>
        <w:tc>
          <w:tcPr>
            <w:tcW w:w="1276" w:type="dxa"/>
          </w:tcPr>
          <w:p w:rsidR="009F1072" w:rsidRPr="008A2B5B" w:rsidRDefault="009F1072" w:rsidP="009F1072">
            <w:pPr>
              <w:pStyle w:val="BodyText2"/>
              <w:spacing w:after="0" w:line="240" w:lineRule="auto"/>
            </w:pPr>
            <w:r>
              <w:t>“Atama Yetkisi</w:t>
            </w:r>
          </w:p>
        </w:tc>
        <w:tc>
          <w:tcPr>
            <w:tcW w:w="567" w:type="dxa"/>
          </w:tcPr>
          <w:p w:rsidR="009F1072" w:rsidRPr="008A2B5B" w:rsidRDefault="009F1072" w:rsidP="008730ED">
            <w:pPr>
              <w:pStyle w:val="BodyText2"/>
              <w:spacing w:after="0" w:line="240" w:lineRule="auto"/>
            </w:pPr>
            <w:r>
              <w:t>15.</w:t>
            </w:r>
          </w:p>
        </w:tc>
        <w:tc>
          <w:tcPr>
            <w:tcW w:w="567" w:type="dxa"/>
          </w:tcPr>
          <w:p w:rsidR="009F1072" w:rsidRPr="008A2B5B" w:rsidRDefault="009F1072" w:rsidP="008730ED">
            <w:pPr>
              <w:pStyle w:val="BodyText2"/>
              <w:spacing w:after="0" w:line="240" w:lineRule="auto"/>
            </w:pPr>
            <w:r>
              <w:t>(1)</w:t>
            </w:r>
          </w:p>
        </w:tc>
        <w:tc>
          <w:tcPr>
            <w:tcW w:w="5068" w:type="dxa"/>
          </w:tcPr>
          <w:p w:rsidR="009F1072" w:rsidRPr="008A2B5B" w:rsidRDefault="0077504B" w:rsidP="004F2EBC">
            <w:pPr>
              <w:pStyle w:val="BodyText2"/>
              <w:spacing w:after="0" w:line="240" w:lineRule="auto"/>
              <w:jc w:val="both"/>
            </w:pPr>
            <w:r>
              <w:t>Banka hizmetlerinin gerektirdiği asıl ve sürekli görevleri yürüten Kalkınma Bankası Personel</w:t>
            </w:r>
            <w:r w:rsidR="00A71AA3">
              <w:t>inin</w:t>
            </w:r>
            <w:r>
              <w:t xml:space="preserve"> atanmaları, bu Yasa kuralları</w:t>
            </w:r>
            <w:r w:rsidR="00A71AA3">
              <w:t xml:space="preserve"> çerçevesinde, Maliye</w:t>
            </w:r>
            <w:r w:rsidR="00576D5B">
              <w:t xml:space="preserve"> </w:t>
            </w:r>
            <w:r w:rsidR="004F2EBC">
              <w:t xml:space="preserve">İşleriyle Görevli </w:t>
            </w:r>
            <w:r w:rsidR="00576D5B">
              <w:t xml:space="preserve">Bakanlığın </w:t>
            </w:r>
            <w:r w:rsidR="00576D5B" w:rsidRPr="00576D5B">
              <w:t>görüşü alınarak</w:t>
            </w:r>
            <w:r w:rsidR="00576D5B">
              <w:t xml:space="preserve"> </w:t>
            </w:r>
            <w:r w:rsidR="00576D5B" w:rsidRPr="00576D5B">
              <w:t>Yönetim Kurulunca</w:t>
            </w:r>
            <w:r w:rsidR="00576D5B">
              <w:t xml:space="preserve"> yapılır.</w:t>
            </w:r>
          </w:p>
        </w:tc>
      </w:tr>
    </w:tbl>
    <w:p w:rsidR="00523EC9" w:rsidRDefault="00523EC9">
      <w:r>
        <w:br w:type="page"/>
      </w:r>
    </w:p>
    <w:tbl>
      <w:tblPr>
        <w:tblW w:w="9606" w:type="dxa"/>
        <w:tblLayout w:type="fixed"/>
        <w:tblLook w:val="01E0" w:firstRow="1" w:lastRow="1" w:firstColumn="1" w:lastColumn="1" w:noHBand="0" w:noVBand="0"/>
      </w:tblPr>
      <w:tblGrid>
        <w:gridCol w:w="1668"/>
        <w:gridCol w:w="425"/>
        <w:gridCol w:w="567"/>
        <w:gridCol w:w="567"/>
        <w:gridCol w:w="142"/>
        <w:gridCol w:w="567"/>
        <w:gridCol w:w="567"/>
        <w:gridCol w:w="5068"/>
        <w:gridCol w:w="35"/>
      </w:tblGrid>
      <w:tr w:rsidR="009F1072" w:rsidRPr="008A2B5B" w:rsidTr="00DE221A">
        <w:tc>
          <w:tcPr>
            <w:tcW w:w="1668" w:type="dxa"/>
          </w:tcPr>
          <w:p w:rsidR="009F1072" w:rsidRPr="008A2B5B" w:rsidRDefault="009F1072" w:rsidP="008730ED">
            <w:pPr>
              <w:spacing w:after="0" w:line="240" w:lineRule="auto"/>
              <w:rPr>
                <w:rFonts w:ascii="Times New Roman" w:hAnsi="Times New Roman" w:cs="Times New Roman"/>
                <w:sz w:val="24"/>
                <w:szCs w:val="24"/>
              </w:rPr>
            </w:pPr>
          </w:p>
        </w:tc>
        <w:tc>
          <w:tcPr>
            <w:tcW w:w="425" w:type="dxa"/>
          </w:tcPr>
          <w:p w:rsidR="009F1072" w:rsidRPr="008A2B5B" w:rsidRDefault="009F1072" w:rsidP="008730ED">
            <w:pPr>
              <w:spacing w:after="0" w:line="240" w:lineRule="auto"/>
              <w:rPr>
                <w:rFonts w:ascii="Times New Roman" w:eastAsia="Times New Roman" w:hAnsi="Times New Roman" w:cs="Times New Roman"/>
                <w:sz w:val="24"/>
                <w:szCs w:val="24"/>
              </w:rPr>
            </w:pPr>
          </w:p>
        </w:tc>
        <w:tc>
          <w:tcPr>
            <w:tcW w:w="1276" w:type="dxa"/>
            <w:gridSpan w:val="3"/>
          </w:tcPr>
          <w:p w:rsidR="009F1072" w:rsidRDefault="009F1072" w:rsidP="009F1072">
            <w:pPr>
              <w:pStyle w:val="BodyText2"/>
              <w:spacing w:after="0" w:line="240" w:lineRule="auto"/>
            </w:pPr>
          </w:p>
        </w:tc>
        <w:tc>
          <w:tcPr>
            <w:tcW w:w="567" w:type="dxa"/>
          </w:tcPr>
          <w:p w:rsidR="009F1072" w:rsidRDefault="009F1072" w:rsidP="008730ED">
            <w:pPr>
              <w:pStyle w:val="BodyText2"/>
              <w:spacing w:after="0" w:line="240" w:lineRule="auto"/>
            </w:pPr>
          </w:p>
        </w:tc>
        <w:tc>
          <w:tcPr>
            <w:tcW w:w="567" w:type="dxa"/>
          </w:tcPr>
          <w:p w:rsidR="009F1072" w:rsidRDefault="009F1072" w:rsidP="008730ED">
            <w:pPr>
              <w:pStyle w:val="BodyText2"/>
              <w:spacing w:after="0" w:line="240" w:lineRule="auto"/>
            </w:pPr>
            <w:r>
              <w:t>(2)</w:t>
            </w:r>
          </w:p>
        </w:tc>
        <w:tc>
          <w:tcPr>
            <w:tcW w:w="5103" w:type="dxa"/>
            <w:gridSpan w:val="2"/>
          </w:tcPr>
          <w:p w:rsidR="009F1072" w:rsidRPr="008A2B5B" w:rsidRDefault="00523EC9" w:rsidP="00DF3F1A">
            <w:pPr>
              <w:pStyle w:val="BodyText2"/>
              <w:spacing w:after="0" w:line="240" w:lineRule="auto"/>
              <w:jc w:val="both"/>
            </w:pPr>
            <w:r>
              <w:t xml:space="preserve">Sözleşmeli personelin atanmaları veya göreve alınmaları </w:t>
            </w:r>
            <w:r w:rsidR="00DF3F1A" w:rsidRPr="00DF3F1A">
              <w:t>bu Yasadaki özel kurallar saklı</w:t>
            </w:r>
            <w:r w:rsidR="00DF3F1A">
              <w:t xml:space="preserve"> kalmak koşuluyla, </w:t>
            </w:r>
            <w:r>
              <w:t xml:space="preserve">Maliye </w:t>
            </w:r>
            <w:r w:rsidR="00DF3F1A" w:rsidRPr="00DF3F1A">
              <w:t xml:space="preserve">İşleriyle Görevli </w:t>
            </w:r>
            <w:r w:rsidR="00DF3F1A">
              <w:t xml:space="preserve">Bakanlığın </w:t>
            </w:r>
            <w:r w:rsidRPr="00523EC9">
              <w:t>görüşü alınarak</w:t>
            </w:r>
            <w:r>
              <w:t xml:space="preserve"> yapılır.</w:t>
            </w:r>
          </w:p>
        </w:tc>
      </w:tr>
      <w:tr w:rsidR="009F1072" w:rsidRPr="008A2B5B" w:rsidTr="00DE221A">
        <w:tc>
          <w:tcPr>
            <w:tcW w:w="1668" w:type="dxa"/>
          </w:tcPr>
          <w:p w:rsidR="009F1072" w:rsidRPr="008A2B5B" w:rsidRDefault="009F1072" w:rsidP="008730ED">
            <w:pPr>
              <w:spacing w:after="0" w:line="240" w:lineRule="auto"/>
              <w:rPr>
                <w:rFonts w:ascii="Times New Roman" w:hAnsi="Times New Roman" w:cs="Times New Roman"/>
                <w:sz w:val="24"/>
                <w:szCs w:val="24"/>
              </w:rPr>
            </w:pPr>
          </w:p>
        </w:tc>
        <w:tc>
          <w:tcPr>
            <w:tcW w:w="425" w:type="dxa"/>
          </w:tcPr>
          <w:p w:rsidR="009F1072" w:rsidRPr="008A2B5B" w:rsidRDefault="009F1072" w:rsidP="008730ED">
            <w:pPr>
              <w:spacing w:after="0" w:line="240" w:lineRule="auto"/>
              <w:rPr>
                <w:rFonts w:ascii="Times New Roman" w:eastAsia="Times New Roman" w:hAnsi="Times New Roman" w:cs="Times New Roman"/>
                <w:sz w:val="24"/>
                <w:szCs w:val="24"/>
              </w:rPr>
            </w:pPr>
          </w:p>
        </w:tc>
        <w:tc>
          <w:tcPr>
            <w:tcW w:w="1276" w:type="dxa"/>
            <w:gridSpan w:val="3"/>
          </w:tcPr>
          <w:p w:rsidR="009F1072" w:rsidRDefault="009F1072" w:rsidP="009F1072">
            <w:pPr>
              <w:pStyle w:val="BodyText2"/>
              <w:spacing w:after="0" w:line="240" w:lineRule="auto"/>
            </w:pPr>
          </w:p>
        </w:tc>
        <w:tc>
          <w:tcPr>
            <w:tcW w:w="567" w:type="dxa"/>
          </w:tcPr>
          <w:p w:rsidR="009F1072" w:rsidRDefault="009F1072" w:rsidP="008730ED">
            <w:pPr>
              <w:pStyle w:val="BodyText2"/>
              <w:spacing w:after="0" w:line="240" w:lineRule="auto"/>
            </w:pPr>
          </w:p>
        </w:tc>
        <w:tc>
          <w:tcPr>
            <w:tcW w:w="567" w:type="dxa"/>
          </w:tcPr>
          <w:p w:rsidR="009F1072" w:rsidRDefault="009F1072" w:rsidP="008730ED">
            <w:pPr>
              <w:pStyle w:val="BodyText2"/>
              <w:spacing w:after="0" w:line="240" w:lineRule="auto"/>
            </w:pPr>
            <w:r>
              <w:t>(3)</w:t>
            </w:r>
          </w:p>
        </w:tc>
        <w:tc>
          <w:tcPr>
            <w:tcW w:w="5103" w:type="dxa"/>
            <w:gridSpan w:val="2"/>
          </w:tcPr>
          <w:p w:rsidR="009F1072" w:rsidRPr="008A2B5B" w:rsidRDefault="00DD7CC4" w:rsidP="00DF3F1A">
            <w:pPr>
              <w:pStyle w:val="BodyText2"/>
              <w:spacing w:after="0" w:line="240" w:lineRule="auto"/>
              <w:jc w:val="both"/>
            </w:pPr>
            <w:r>
              <w:t>İşçilerin atanmaları</w:t>
            </w:r>
            <w:r w:rsidR="00584579">
              <w:t>,</w:t>
            </w:r>
            <w:r w:rsidR="007B2169">
              <w:t xml:space="preserve"> </w:t>
            </w:r>
            <w:r w:rsidRPr="00DD7CC4">
              <w:t xml:space="preserve">Maliye </w:t>
            </w:r>
            <w:r w:rsidR="00DF3F1A" w:rsidRPr="00DF3F1A">
              <w:t xml:space="preserve">İşleriyle Görevli </w:t>
            </w:r>
            <w:r w:rsidRPr="00DD7CC4">
              <w:t>Bakanlığın görüşü alınarak Yönetim Kurulunca yapılır.</w:t>
            </w:r>
            <w:r w:rsidR="007C7DD5">
              <w:t>”</w:t>
            </w:r>
          </w:p>
        </w:tc>
      </w:tr>
      <w:tr w:rsidR="00DD7CC4" w:rsidRPr="008A2B5B" w:rsidTr="00DE221A">
        <w:tc>
          <w:tcPr>
            <w:tcW w:w="1668" w:type="dxa"/>
          </w:tcPr>
          <w:p w:rsidR="00DD7CC4" w:rsidRPr="008A2B5B" w:rsidRDefault="00DD7CC4" w:rsidP="008730ED">
            <w:pPr>
              <w:spacing w:after="0" w:line="240" w:lineRule="auto"/>
              <w:rPr>
                <w:rFonts w:ascii="Times New Roman" w:hAnsi="Times New Roman" w:cs="Times New Roman"/>
                <w:sz w:val="24"/>
                <w:szCs w:val="24"/>
              </w:rPr>
            </w:pPr>
          </w:p>
        </w:tc>
        <w:tc>
          <w:tcPr>
            <w:tcW w:w="425" w:type="dxa"/>
          </w:tcPr>
          <w:p w:rsidR="00DD7CC4" w:rsidRPr="008A2B5B" w:rsidRDefault="00DD7CC4" w:rsidP="008730ED">
            <w:pPr>
              <w:spacing w:after="0" w:line="240" w:lineRule="auto"/>
              <w:rPr>
                <w:rFonts w:ascii="Times New Roman" w:eastAsia="Times New Roman" w:hAnsi="Times New Roman" w:cs="Times New Roman"/>
                <w:sz w:val="24"/>
                <w:szCs w:val="24"/>
              </w:rPr>
            </w:pPr>
          </w:p>
        </w:tc>
        <w:tc>
          <w:tcPr>
            <w:tcW w:w="1276" w:type="dxa"/>
            <w:gridSpan w:val="3"/>
          </w:tcPr>
          <w:p w:rsidR="00DD7CC4" w:rsidRDefault="00DD7CC4" w:rsidP="009F1072">
            <w:pPr>
              <w:pStyle w:val="BodyText2"/>
              <w:spacing w:after="0" w:line="240" w:lineRule="auto"/>
            </w:pPr>
          </w:p>
        </w:tc>
        <w:tc>
          <w:tcPr>
            <w:tcW w:w="567" w:type="dxa"/>
          </w:tcPr>
          <w:p w:rsidR="00DD7CC4" w:rsidRDefault="00DD7CC4" w:rsidP="008730ED">
            <w:pPr>
              <w:pStyle w:val="BodyText2"/>
              <w:spacing w:after="0" w:line="240" w:lineRule="auto"/>
            </w:pPr>
          </w:p>
        </w:tc>
        <w:tc>
          <w:tcPr>
            <w:tcW w:w="567" w:type="dxa"/>
          </w:tcPr>
          <w:p w:rsidR="00DD7CC4" w:rsidRDefault="00DD7CC4" w:rsidP="008730ED">
            <w:pPr>
              <w:pStyle w:val="BodyText2"/>
              <w:spacing w:after="0" w:line="240" w:lineRule="auto"/>
            </w:pPr>
          </w:p>
        </w:tc>
        <w:tc>
          <w:tcPr>
            <w:tcW w:w="5103" w:type="dxa"/>
            <w:gridSpan w:val="2"/>
          </w:tcPr>
          <w:p w:rsidR="00DD7CC4" w:rsidRDefault="00DD7CC4" w:rsidP="00DD7CC4">
            <w:pPr>
              <w:pStyle w:val="BodyText2"/>
              <w:spacing w:after="0" w:line="240" w:lineRule="auto"/>
              <w:jc w:val="both"/>
            </w:pPr>
          </w:p>
        </w:tc>
      </w:tr>
      <w:tr w:rsidR="00DE221A" w:rsidRPr="008A2B5B" w:rsidTr="00DE221A">
        <w:tc>
          <w:tcPr>
            <w:tcW w:w="1668" w:type="dxa"/>
          </w:tcPr>
          <w:p w:rsidR="00DE221A" w:rsidRPr="008A2B5B" w:rsidRDefault="00DE221A"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 xml:space="preserve">Esas Yasanın 21’inci Maddesinin </w:t>
            </w:r>
          </w:p>
        </w:tc>
        <w:tc>
          <w:tcPr>
            <w:tcW w:w="7938" w:type="dxa"/>
            <w:gridSpan w:val="8"/>
          </w:tcPr>
          <w:p w:rsidR="00DE221A" w:rsidRPr="008A2B5B" w:rsidRDefault="00DE221A" w:rsidP="00DE221A">
            <w:pPr>
              <w:spacing w:after="0" w:line="240" w:lineRule="auto"/>
              <w:jc w:val="both"/>
              <w:rPr>
                <w:rFonts w:ascii="Times New Roman" w:hAnsi="Times New Roman" w:cs="Times New Roman"/>
                <w:sz w:val="24"/>
                <w:szCs w:val="24"/>
              </w:rPr>
            </w:pPr>
            <w:r w:rsidRPr="008A2B5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8A2B5B">
              <w:rPr>
                <w:rFonts w:ascii="Times New Roman" w:hAnsi="Times New Roman" w:cs="Times New Roman"/>
                <w:sz w:val="24"/>
                <w:szCs w:val="24"/>
              </w:rPr>
              <w:t>Esas Yasa, 21’inci maddesinin (2)’nci fıkrası kaldırılmak ve yerine aşağıdaki yeni (2)’nci fıkra konmak suretiyle değiştirilir:</w:t>
            </w:r>
          </w:p>
        </w:tc>
      </w:tr>
      <w:tr w:rsidR="006B182C" w:rsidRPr="008A2B5B" w:rsidTr="00F436F8">
        <w:tc>
          <w:tcPr>
            <w:tcW w:w="1668" w:type="dxa"/>
          </w:tcPr>
          <w:p w:rsidR="006B182C" w:rsidRPr="008A2B5B" w:rsidRDefault="006B182C"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Değiştirilmesi</w:t>
            </w:r>
          </w:p>
        </w:tc>
        <w:tc>
          <w:tcPr>
            <w:tcW w:w="425" w:type="dxa"/>
          </w:tcPr>
          <w:p w:rsidR="006B182C" w:rsidRPr="008A2B5B" w:rsidRDefault="006B182C" w:rsidP="008730ED">
            <w:pPr>
              <w:spacing w:after="0" w:line="240" w:lineRule="auto"/>
              <w:rPr>
                <w:rFonts w:ascii="Times New Roman" w:eastAsia="Times New Roman" w:hAnsi="Times New Roman" w:cs="Times New Roman"/>
                <w:sz w:val="24"/>
                <w:szCs w:val="24"/>
              </w:rPr>
            </w:pPr>
          </w:p>
        </w:tc>
        <w:tc>
          <w:tcPr>
            <w:tcW w:w="7513" w:type="dxa"/>
            <w:gridSpan w:val="7"/>
          </w:tcPr>
          <w:p w:rsidR="006B182C" w:rsidRPr="008A2B5B" w:rsidRDefault="006B182C" w:rsidP="006B182C">
            <w:pPr>
              <w:pStyle w:val="BodyText2"/>
              <w:spacing w:after="0" w:line="240" w:lineRule="auto"/>
            </w:pPr>
            <w:r w:rsidRPr="008A2B5B">
              <w:t>“(2)</w:t>
            </w:r>
            <w:r>
              <w:t xml:space="preserve">  </w:t>
            </w:r>
            <w:r w:rsidRPr="008A2B5B">
              <w:t>Aday personel de kademe ilerlemesi alır.”</w:t>
            </w:r>
          </w:p>
        </w:tc>
      </w:tr>
      <w:tr w:rsidR="00DE221A" w:rsidRPr="008A2B5B" w:rsidTr="006B182C">
        <w:tc>
          <w:tcPr>
            <w:tcW w:w="1668" w:type="dxa"/>
          </w:tcPr>
          <w:p w:rsidR="00DE221A" w:rsidRPr="008A2B5B" w:rsidRDefault="00DE221A" w:rsidP="008730ED">
            <w:pPr>
              <w:spacing w:after="0" w:line="240" w:lineRule="auto"/>
              <w:rPr>
                <w:rFonts w:ascii="Times New Roman" w:hAnsi="Times New Roman" w:cs="Times New Roman"/>
                <w:sz w:val="24"/>
                <w:szCs w:val="24"/>
              </w:rPr>
            </w:pPr>
          </w:p>
        </w:tc>
        <w:tc>
          <w:tcPr>
            <w:tcW w:w="425" w:type="dxa"/>
          </w:tcPr>
          <w:p w:rsidR="00DE221A" w:rsidRPr="008A2B5B" w:rsidRDefault="00DE221A" w:rsidP="008730ED">
            <w:pPr>
              <w:spacing w:after="0" w:line="240" w:lineRule="auto"/>
              <w:rPr>
                <w:rFonts w:ascii="Times New Roman" w:eastAsia="Times New Roman" w:hAnsi="Times New Roman" w:cs="Times New Roman"/>
                <w:sz w:val="24"/>
                <w:szCs w:val="24"/>
              </w:rPr>
            </w:pPr>
          </w:p>
        </w:tc>
        <w:tc>
          <w:tcPr>
            <w:tcW w:w="567" w:type="dxa"/>
          </w:tcPr>
          <w:p w:rsidR="00DE221A" w:rsidRPr="008A2B5B" w:rsidRDefault="00DE221A" w:rsidP="008730ED">
            <w:pPr>
              <w:pStyle w:val="BodyText2"/>
              <w:spacing w:after="0" w:line="240" w:lineRule="auto"/>
            </w:pPr>
          </w:p>
        </w:tc>
        <w:tc>
          <w:tcPr>
            <w:tcW w:w="6946" w:type="dxa"/>
            <w:gridSpan w:val="6"/>
          </w:tcPr>
          <w:p w:rsidR="00DE221A" w:rsidRPr="008A2B5B" w:rsidRDefault="00DE221A" w:rsidP="008730ED">
            <w:pPr>
              <w:pStyle w:val="BodyText2"/>
              <w:spacing w:after="0" w:line="240" w:lineRule="auto"/>
            </w:pPr>
          </w:p>
        </w:tc>
      </w:tr>
      <w:tr w:rsidR="00E03603" w:rsidRPr="008A2B5B" w:rsidTr="00FC3BAD">
        <w:tc>
          <w:tcPr>
            <w:tcW w:w="1668" w:type="dxa"/>
          </w:tcPr>
          <w:p w:rsidR="00E03603" w:rsidRPr="008A2B5B" w:rsidRDefault="00E03603" w:rsidP="00E03603">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 xml:space="preserve">Esas Yasanın 35’inci Maddesinin </w:t>
            </w:r>
          </w:p>
        </w:tc>
        <w:tc>
          <w:tcPr>
            <w:tcW w:w="7938" w:type="dxa"/>
            <w:gridSpan w:val="8"/>
          </w:tcPr>
          <w:p w:rsidR="00E03603" w:rsidRPr="008A2B5B" w:rsidRDefault="00E03603" w:rsidP="00E03603">
            <w:pPr>
              <w:spacing w:after="0" w:line="240" w:lineRule="auto"/>
              <w:rPr>
                <w:rFonts w:ascii="Times New Roman" w:hAnsi="Times New Roman" w:cs="Times New Roman"/>
                <w:sz w:val="24"/>
                <w:szCs w:val="24"/>
              </w:rPr>
            </w:pPr>
            <w:r w:rsidRPr="008A2B5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8A2B5B">
              <w:rPr>
                <w:rFonts w:ascii="Times New Roman" w:hAnsi="Times New Roman" w:cs="Times New Roman"/>
                <w:sz w:val="24"/>
                <w:szCs w:val="24"/>
              </w:rPr>
              <w:t>Esas Yasa, 35’inci maddesinin (2)’nci fıkrası kaldırılmak ve yerine aşağıdaki yeni (2)’nci fıkra konmak suretiyle değiştirilir:</w:t>
            </w:r>
          </w:p>
        </w:tc>
      </w:tr>
      <w:tr w:rsidR="002A4E80" w:rsidRPr="008A2B5B" w:rsidTr="00CF1A39">
        <w:trPr>
          <w:gridAfter w:val="1"/>
          <w:wAfter w:w="35" w:type="dxa"/>
        </w:trPr>
        <w:tc>
          <w:tcPr>
            <w:tcW w:w="1668" w:type="dxa"/>
          </w:tcPr>
          <w:p w:rsidR="002A4E80" w:rsidRPr="00E03603" w:rsidRDefault="002A4E80" w:rsidP="00E03603">
            <w:pPr>
              <w:spacing w:after="0" w:line="240" w:lineRule="auto"/>
              <w:rPr>
                <w:rFonts w:ascii="Times New Roman" w:hAnsi="Times New Roman" w:cs="Times New Roman"/>
                <w:sz w:val="24"/>
                <w:szCs w:val="24"/>
              </w:rPr>
            </w:pPr>
            <w:r w:rsidRPr="009202D8">
              <w:rPr>
                <w:rFonts w:ascii="Times New Roman" w:hAnsi="Times New Roman" w:cs="Times New Roman"/>
                <w:sz w:val="24"/>
                <w:szCs w:val="24"/>
              </w:rPr>
              <w:t>Değiştirilmesi</w:t>
            </w:r>
          </w:p>
        </w:tc>
        <w:tc>
          <w:tcPr>
            <w:tcW w:w="1559" w:type="dxa"/>
            <w:gridSpan w:val="3"/>
          </w:tcPr>
          <w:p w:rsidR="002A4E80" w:rsidRDefault="002A4E80" w:rsidP="009202D8">
            <w:pPr>
              <w:spacing w:after="0" w:line="240" w:lineRule="auto"/>
              <w:rPr>
                <w:rFonts w:ascii="Times New Roman" w:eastAsia="Times New Roman" w:hAnsi="Times New Roman" w:cs="Times New Roman"/>
                <w:sz w:val="24"/>
                <w:szCs w:val="24"/>
              </w:rPr>
            </w:pPr>
          </w:p>
          <w:p w:rsidR="002A4E80" w:rsidRDefault="002A4E80" w:rsidP="009202D8">
            <w:pPr>
              <w:spacing w:after="0" w:line="240" w:lineRule="auto"/>
              <w:rPr>
                <w:rFonts w:ascii="Times New Roman" w:eastAsia="Times New Roman" w:hAnsi="Times New Roman" w:cs="Times New Roman"/>
                <w:sz w:val="24"/>
                <w:szCs w:val="24"/>
              </w:rPr>
            </w:pPr>
          </w:p>
          <w:p w:rsidR="002A4E80" w:rsidRPr="00E03603" w:rsidRDefault="002A4E80" w:rsidP="009202D8">
            <w:pPr>
              <w:spacing w:after="0" w:line="240" w:lineRule="auto"/>
              <w:rPr>
                <w:rFonts w:ascii="Times New Roman" w:eastAsia="Times New Roman" w:hAnsi="Times New Roman" w:cs="Times New Roman"/>
                <w:sz w:val="24"/>
                <w:szCs w:val="24"/>
              </w:rPr>
            </w:pPr>
            <w:r w:rsidRPr="00E03603">
              <w:rPr>
                <w:rFonts w:ascii="Times New Roman" w:eastAsia="Times New Roman" w:hAnsi="Times New Roman" w:cs="Times New Roman"/>
                <w:sz w:val="24"/>
                <w:szCs w:val="24"/>
              </w:rPr>
              <w:t>64/1993</w:t>
            </w:r>
          </w:p>
          <w:p w:rsidR="002A4E80" w:rsidRDefault="002A4E80" w:rsidP="009202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3603">
              <w:rPr>
                <w:rFonts w:ascii="Times New Roman" w:eastAsia="Times New Roman" w:hAnsi="Times New Roman" w:cs="Times New Roman"/>
                <w:sz w:val="24"/>
                <w:szCs w:val="24"/>
              </w:rPr>
              <w:t xml:space="preserve">51/1994 </w:t>
            </w:r>
            <w:r>
              <w:rPr>
                <w:rFonts w:ascii="Times New Roman" w:eastAsia="Times New Roman" w:hAnsi="Times New Roman" w:cs="Times New Roman"/>
                <w:sz w:val="24"/>
                <w:szCs w:val="24"/>
              </w:rPr>
              <w:t xml:space="preserve">  </w:t>
            </w:r>
          </w:p>
          <w:p w:rsidR="002A4E80" w:rsidRDefault="002A4E80" w:rsidP="009202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3603">
              <w:rPr>
                <w:rFonts w:ascii="Times New Roman" w:eastAsia="Times New Roman" w:hAnsi="Times New Roman" w:cs="Times New Roman"/>
                <w:sz w:val="24"/>
                <w:szCs w:val="24"/>
              </w:rPr>
              <w:t xml:space="preserve">52/2000 </w:t>
            </w:r>
          </w:p>
          <w:p w:rsidR="002A4E80" w:rsidRDefault="002A4E80" w:rsidP="009202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3603">
              <w:rPr>
                <w:rFonts w:ascii="Times New Roman" w:eastAsia="Times New Roman" w:hAnsi="Times New Roman" w:cs="Times New Roman"/>
                <w:sz w:val="24"/>
                <w:szCs w:val="24"/>
              </w:rPr>
              <w:t xml:space="preserve">69/2006 </w:t>
            </w:r>
            <w:r>
              <w:rPr>
                <w:rFonts w:ascii="Times New Roman" w:eastAsia="Times New Roman" w:hAnsi="Times New Roman" w:cs="Times New Roman"/>
                <w:sz w:val="24"/>
                <w:szCs w:val="24"/>
              </w:rPr>
              <w:t xml:space="preserve"> </w:t>
            </w:r>
          </w:p>
          <w:p w:rsidR="002A4E80" w:rsidRDefault="002A4E80" w:rsidP="009202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3603">
              <w:rPr>
                <w:rFonts w:ascii="Times New Roman" w:eastAsia="Times New Roman" w:hAnsi="Times New Roman" w:cs="Times New Roman"/>
                <w:sz w:val="24"/>
                <w:szCs w:val="24"/>
              </w:rPr>
              <w:t>39/2014</w:t>
            </w:r>
          </w:p>
          <w:p w:rsidR="002A4E80" w:rsidRDefault="002A4E80" w:rsidP="009202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50/2020</w:t>
            </w:r>
          </w:p>
        </w:tc>
        <w:tc>
          <w:tcPr>
            <w:tcW w:w="709" w:type="dxa"/>
            <w:gridSpan w:val="2"/>
          </w:tcPr>
          <w:p w:rsidR="002A4E80" w:rsidRPr="008A2B5B" w:rsidRDefault="002A4E80" w:rsidP="008730ED">
            <w:pPr>
              <w:pStyle w:val="BodyText2"/>
              <w:spacing w:after="0" w:line="240" w:lineRule="auto"/>
            </w:pPr>
            <w:r w:rsidRPr="009202D8">
              <w:t>“(2)</w:t>
            </w:r>
          </w:p>
        </w:tc>
        <w:tc>
          <w:tcPr>
            <w:tcW w:w="5635" w:type="dxa"/>
            <w:gridSpan w:val="2"/>
            <w:shd w:val="clear" w:color="auto" w:fill="auto"/>
          </w:tcPr>
          <w:p w:rsidR="002A4E80" w:rsidRDefault="002A4E80" w:rsidP="00E03603">
            <w:pPr>
              <w:pStyle w:val="BodyText2"/>
              <w:spacing w:after="0" w:line="240" w:lineRule="auto"/>
              <w:jc w:val="both"/>
            </w:pPr>
            <w:r w:rsidRPr="009202D8">
              <w:t xml:space="preserve">Genel Müdüre, Genel Müdür Yardımcısına, </w:t>
            </w:r>
            <w:r>
              <w:t xml:space="preserve">Kalkınma </w:t>
            </w:r>
            <w:r w:rsidRPr="009202D8">
              <w:t>Banka</w:t>
            </w:r>
            <w:r>
              <w:t>sı</w:t>
            </w:r>
            <w:r w:rsidRPr="009202D8">
              <w:t xml:space="preserve"> personeline, sözleşmeli personele, işçilere ve Engellileri Koruma, Rehabilite ve İstihdam Yasası kapsamında istihdam edilenlere, Bakanlar Kurulunun saptayacağı oran ve miktarda maaşlarına ilaveten ek ödenek verilebilir.</w:t>
            </w:r>
          </w:p>
          <w:p w:rsidR="002A4E80" w:rsidRPr="008A2B5B" w:rsidRDefault="002A4E80" w:rsidP="00593522">
            <w:pPr>
              <w:pStyle w:val="BodyText2"/>
              <w:spacing w:after="0" w:line="240" w:lineRule="auto"/>
              <w:jc w:val="both"/>
            </w:pPr>
            <w:r>
              <w:t xml:space="preserve">         Ancak </w:t>
            </w:r>
            <w:r w:rsidR="00593522" w:rsidRPr="00593522">
              <w:t xml:space="preserve">çalışma ve verime karşılık verilen bu </w:t>
            </w:r>
            <w:r w:rsidRPr="002A4E80">
              <w:t>ödenek; kıdem tazminatı, tazminat, emeklilik ve benzeri amaçlar bakımından dikkate alınmaz ve kazanılmış hak oluşturmaz.”</w:t>
            </w:r>
          </w:p>
        </w:tc>
      </w:tr>
      <w:tr w:rsidR="008E11C2" w:rsidRPr="008A2B5B" w:rsidTr="009202D8">
        <w:trPr>
          <w:gridAfter w:val="1"/>
          <w:wAfter w:w="35" w:type="dxa"/>
        </w:trPr>
        <w:tc>
          <w:tcPr>
            <w:tcW w:w="1668" w:type="dxa"/>
          </w:tcPr>
          <w:p w:rsidR="008E11C2" w:rsidRPr="00E03603" w:rsidRDefault="008E11C2" w:rsidP="00E03603">
            <w:pPr>
              <w:spacing w:after="0" w:line="240" w:lineRule="auto"/>
              <w:rPr>
                <w:rFonts w:ascii="Times New Roman" w:hAnsi="Times New Roman" w:cs="Times New Roman"/>
                <w:sz w:val="24"/>
                <w:szCs w:val="24"/>
              </w:rPr>
            </w:pPr>
          </w:p>
        </w:tc>
        <w:tc>
          <w:tcPr>
            <w:tcW w:w="1559" w:type="dxa"/>
            <w:gridSpan w:val="3"/>
          </w:tcPr>
          <w:p w:rsidR="008E11C2" w:rsidRDefault="008E11C2" w:rsidP="00E03603">
            <w:pPr>
              <w:spacing w:after="0" w:line="240" w:lineRule="auto"/>
              <w:rPr>
                <w:rFonts w:ascii="Times New Roman" w:eastAsia="Times New Roman" w:hAnsi="Times New Roman" w:cs="Times New Roman"/>
                <w:sz w:val="24"/>
                <w:szCs w:val="24"/>
              </w:rPr>
            </w:pPr>
          </w:p>
        </w:tc>
        <w:tc>
          <w:tcPr>
            <w:tcW w:w="709" w:type="dxa"/>
            <w:gridSpan w:val="2"/>
          </w:tcPr>
          <w:p w:rsidR="008E11C2" w:rsidRPr="008A2B5B" w:rsidRDefault="008E11C2" w:rsidP="008730ED">
            <w:pPr>
              <w:pStyle w:val="BodyText2"/>
              <w:spacing w:after="0" w:line="240" w:lineRule="auto"/>
            </w:pPr>
          </w:p>
        </w:tc>
        <w:tc>
          <w:tcPr>
            <w:tcW w:w="567" w:type="dxa"/>
            <w:shd w:val="clear" w:color="auto" w:fill="auto"/>
          </w:tcPr>
          <w:p w:rsidR="008E11C2" w:rsidRDefault="008E11C2" w:rsidP="009202D8">
            <w:pPr>
              <w:pStyle w:val="BodyText2"/>
              <w:spacing w:after="0" w:line="240" w:lineRule="auto"/>
              <w:jc w:val="both"/>
            </w:pPr>
          </w:p>
        </w:tc>
        <w:tc>
          <w:tcPr>
            <w:tcW w:w="5068" w:type="dxa"/>
            <w:shd w:val="clear" w:color="auto" w:fill="auto"/>
          </w:tcPr>
          <w:p w:rsidR="008E11C2" w:rsidRDefault="008E11C2" w:rsidP="008E11C2">
            <w:pPr>
              <w:pStyle w:val="BodyText2"/>
              <w:spacing w:after="0" w:line="240" w:lineRule="auto"/>
              <w:jc w:val="both"/>
            </w:pPr>
          </w:p>
        </w:tc>
      </w:tr>
      <w:tr w:rsidR="00A27E02" w:rsidRPr="008A2B5B" w:rsidTr="000C4DAF">
        <w:trPr>
          <w:gridAfter w:val="1"/>
          <w:wAfter w:w="35" w:type="dxa"/>
        </w:trPr>
        <w:tc>
          <w:tcPr>
            <w:tcW w:w="1668" w:type="dxa"/>
          </w:tcPr>
          <w:p w:rsidR="00A27E02" w:rsidRPr="008A2B5B" w:rsidRDefault="00A27E02"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Geçici Madde</w:t>
            </w:r>
          </w:p>
          <w:p w:rsidR="00A27E02" w:rsidRPr="008A2B5B" w:rsidRDefault="00A27E02" w:rsidP="008730ED">
            <w:pPr>
              <w:spacing w:after="0" w:line="240" w:lineRule="auto"/>
              <w:rPr>
                <w:rFonts w:ascii="Times New Roman" w:hAnsi="Times New Roman" w:cs="Times New Roman"/>
                <w:sz w:val="24"/>
                <w:szCs w:val="24"/>
              </w:rPr>
            </w:pPr>
            <w:r w:rsidRPr="008A2B5B">
              <w:rPr>
                <w:rFonts w:ascii="Times New Roman" w:hAnsi="Times New Roman" w:cs="Times New Roman"/>
                <w:sz w:val="24"/>
                <w:szCs w:val="24"/>
              </w:rPr>
              <w:t xml:space="preserve">Halen Geçici Personel Olarak </w:t>
            </w:r>
            <w:r>
              <w:rPr>
                <w:rFonts w:ascii="Times New Roman" w:hAnsi="Times New Roman" w:cs="Times New Roman"/>
                <w:sz w:val="24"/>
                <w:szCs w:val="24"/>
              </w:rPr>
              <w:t>Ç</w:t>
            </w:r>
            <w:r w:rsidRPr="008A2B5B">
              <w:rPr>
                <w:rFonts w:ascii="Times New Roman" w:hAnsi="Times New Roman" w:cs="Times New Roman"/>
                <w:sz w:val="24"/>
                <w:szCs w:val="24"/>
              </w:rPr>
              <w:t>alışanların Durumu</w:t>
            </w:r>
          </w:p>
          <w:p w:rsidR="00A27E02" w:rsidRPr="008A2B5B" w:rsidRDefault="00A27E02" w:rsidP="008730ED">
            <w:pPr>
              <w:spacing w:after="0" w:line="240" w:lineRule="auto"/>
              <w:rPr>
                <w:rFonts w:ascii="Times New Roman" w:hAnsi="Times New Roman" w:cs="Times New Roman"/>
                <w:sz w:val="24"/>
                <w:szCs w:val="24"/>
              </w:rPr>
            </w:pPr>
          </w:p>
        </w:tc>
        <w:tc>
          <w:tcPr>
            <w:tcW w:w="7903" w:type="dxa"/>
            <w:gridSpan w:val="7"/>
          </w:tcPr>
          <w:p w:rsidR="00A27E02" w:rsidRPr="008A2B5B" w:rsidRDefault="00A27E02" w:rsidP="00A27E02">
            <w:pPr>
              <w:pStyle w:val="BodyText2"/>
              <w:spacing w:after="0" w:line="240" w:lineRule="auto"/>
              <w:jc w:val="both"/>
            </w:pPr>
            <w:r>
              <w:t xml:space="preserve">1. </w:t>
            </w:r>
            <w:r w:rsidRPr="008A2B5B">
              <w:t xml:space="preserve">Bu (Değişiklik) Yasasının yürürlüğe girdiği tarihten önce, bu Yasanın 4’üncü maddesinin (4)’üncü fıkrası uyarınca geçici personel olarak hizmete alınmış olup, bu (Değişiklik) Yasasının yürürlüğe girdiği tarihte halen geçici personel olarak görev yapmakta olan kişiler, geçici personel olarak görev yaptıkları sürece, bu (Değişiklik) Yasasının yürürlüğe girdiği tarihten önceki haklarından aynen yararlanmaya devam ederler ve hizmet süreleri aynı yöntem ve şartlarla uzatılabilir. </w:t>
            </w:r>
          </w:p>
          <w:p w:rsidR="00A27E02" w:rsidRPr="008A2B5B" w:rsidRDefault="00A27E02" w:rsidP="008730ED">
            <w:pPr>
              <w:pStyle w:val="BodyText2"/>
              <w:spacing w:after="0" w:line="240" w:lineRule="auto"/>
              <w:jc w:val="both"/>
            </w:pPr>
          </w:p>
        </w:tc>
      </w:tr>
    </w:tbl>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7"/>
        <w:gridCol w:w="7969"/>
      </w:tblGrid>
      <w:tr w:rsidR="00F402C4" w:rsidRPr="008A2B5B" w:rsidTr="004F2A5D">
        <w:trPr>
          <w:trHeight w:val="357"/>
        </w:trPr>
        <w:tc>
          <w:tcPr>
            <w:tcW w:w="1637" w:type="dxa"/>
          </w:tcPr>
          <w:p w:rsidR="00F402C4" w:rsidRPr="008A2B5B" w:rsidRDefault="00F402C4" w:rsidP="008730ED">
            <w:pPr>
              <w:jc w:val="both"/>
              <w:rPr>
                <w:rFonts w:ascii="Times New Roman" w:hAnsi="Times New Roman" w:cs="Times New Roman"/>
                <w:sz w:val="24"/>
                <w:szCs w:val="24"/>
              </w:rPr>
            </w:pPr>
            <w:r w:rsidRPr="008A2B5B">
              <w:rPr>
                <w:rFonts w:ascii="Times New Roman" w:hAnsi="Times New Roman" w:cs="Times New Roman"/>
                <w:sz w:val="24"/>
                <w:szCs w:val="24"/>
              </w:rPr>
              <w:t>Yürürlüğe</w:t>
            </w:r>
          </w:p>
          <w:p w:rsidR="00F402C4" w:rsidRPr="008A2B5B" w:rsidRDefault="00F402C4" w:rsidP="008730ED">
            <w:pPr>
              <w:jc w:val="both"/>
              <w:rPr>
                <w:rFonts w:ascii="Times New Roman" w:hAnsi="Times New Roman" w:cs="Times New Roman"/>
                <w:sz w:val="24"/>
                <w:szCs w:val="24"/>
              </w:rPr>
            </w:pPr>
            <w:r w:rsidRPr="008A2B5B">
              <w:rPr>
                <w:rFonts w:ascii="Times New Roman" w:hAnsi="Times New Roman" w:cs="Times New Roman"/>
                <w:sz w:val="24"/>
                <w:szCs w:val="24"/>
              </w:rPr>
              <w:t>Giriş</w:t>
            </w:r>
          </w:p>
        </w:tc>
        <w:tc>
          <w:tcPr>
            <w:tcW w:w="7969" w:type="dxa"/>
          </w:tcPr>
          <w:p w:rsidR="00F402C4" w:rsidRPr="008A2B5B" w:rsidRDefault="00F402C4" w:rsidP="00F402C4">
            <w:pPr>
              <w:rPr>
                <w:rFonts w:ascii="Times New Roman" w:hAnsi="Times New Roman" w:cs="Times New Roman"/>
                <w:sz w:val="24"/>
                <w:szCs w:val="24"/>
              </w:rPr>
            </w:pPr>
            <w:r w:rsidRPr="008A2B5B">
              <w:rPr>
                <w:rFonts w:ascii="Times New Roman" w:hAnsi="Times New Roman" w:cs="Times New Roman"/>
                <w:sz w:val="24"/>
                <w:szCs w:val="24"/>
              </w:rPr>
              <w:t>7.</w:t>
            </w:r>
            <w:r>
              <w:rPr>
                <w:rFonts w:ascii="Times New Roman" w:hAnsi="Times New Roman" w:cs="Times New Roman"/>
                <w:sz w:val="24"/>
                <w:szCs w:val="24"/>
              </w:rPr>
              <w:t xml:space="preserve"> </w:t>
            </w:r>
            <w:r w:rsidRPr="008A2B5B">
              <w:rPr>
                <w:rFonts w:ascii="Times New Roman" w:hAnsi="Times New Roman" w:cs="Times New Roman"/>
                <w:sz w:val="24"/>
                <w:szCs w:val="24"/>
              </w:rPr>
              <w:t>Bu Yasa, Resmi Gazete’de yayımlandığı tarihten başlayarak yürürlüğe girer.</w:t>
            </w:r>
          </w:p>
        </w:tc>
      </w:tr>
    </w:tbl>
    <w:p w:rsidR="003A79DC" w:rsidRPr="008A2B5B" w:rsidRDefault="003A79DC" w:rsidP="008730ED">
      <w:pPr>
        <w:spacing w:after="0" w:line="240" w:lineRule="auto"/>
        <w:jc w:val="center"/>
        <w:rPr>
          <w:rFonts w:ascii="Times New Roman" w:hAnsi="Times New Roman" w:cs="Times New Roman"/>
          <w:sz w:val="24"/>
          <w:szCs w:val="24"/>
        </w:rPr>
      </w:pPr>
    </w:p>
    <w:sectPr w:rsidR="003A79DC" w:rsidRPr="008A2B5B" w:rsidSect="00523EC9">
      <w:footerReference w:type="default" r:id="rId9"/>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A5" w:rsidRDefault="00F86AA5" w:rsidP="00523EC9">
      <w:pPr>
        <w:spacing w:after="0" w:line="240" w:lineRule="auto"/>
      </w:pPr>
      <w:r>
        <w:separator/>
      </w:r>
    </w:p>
  </w:endnote>
  <w:endnote w:type="continuationSeparator" w:id="0">
    <w:p w:rsidR="00F86AA5" w:rsidRDefault="00F86AA5" w:rsidP="005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1080"/>
      <w:docPartObj>
        <w:docPartGallery w:val="Page Numbers (Bottom of Page)"/>
        <w:docPartUnique/>
      </w:docPartObj>
    </w:sdtPr>
    <w:sdtEndPr>
      <w:rPr>
        <w:noProof/>
      </w:rPr>
    </w:sdtEndPr>
    <w:sdtContent>
      <w:p w:rsidR="00523EC9" w:rsidRDefault="00523EC9">
        <w:pPr>
          <w:pStyle w:val="Footer"/>
          <w:jc w:val="center"/>
        </w:pPr>
        <w:r>
          <w:fldChar w:fldCharType="begin"/>
        </w:r>
        <w:r>
          <w:instrText xml:space="preserve"> PAGE   \* MERGEFORMAT </w:instrText>
        </w:r>
        <w:r>
          <w:fldChar w:fldCharType="separate"/>
        </w:r>
        <w:r w:rsidR="00822EA1">
          <w:rPr>
            <w:noProof/>
          </w:rPr>
          <w:t>2</w:t>
        </w:r>
        <w:r>
          <w:rPr>
            <w:noProof/>
          </w:rPr>
          <w:fldChar w:fldCharType="end"/>
        </w:r>
      </w:p>
    </w:sdtContent>
  </w:sdt>
  <w:p w:rsidR="00523EC9" w:rsidRDefault="00523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A5" w:rsidRDefault="00F86AA5" w:rsidP="00523EC9">
      <w:pPr>
        <w:spacing w:after="0" w:line="240" w:lineRule="auto"/>
      </w:pPr>
      <w:r>
        <w:separator/>
      </w:r>
    </w:p>
  </w:footnote>
  <w:footnote w:type="continuationSeparator" w:id="0">
    <w:p w:rsidR="00F86AA5" w:rsidRDefault="00F86AA5" w:rsidP="00523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8FF"/>
    <w:multiLevelType w:val="hybridMultilevel"/>
    <w:tmpl w:val="8398BF64"/>
    <w:lvl w:ilvl="0" w:tplc="342841B8">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C50E97"/>
    <w:multiLevelType w:val="hybridMultilevel"/>
    <w:tmpl w:val="3E68A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B84B6D"/>
    <w:multiLevelType w:val="hybridMultilevel"/>
    <w:tmpl w:val="DB4689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414671"/>
    <w:multiLevelType w:val="hybridMultilevel"/>
    <w:tmpl w:val="152ED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F570573"/>
    <w:multiLevelType w:val="hybridMultilevel"/>
    <w:tmpl w:val="86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301440"/>
    <w:multiLevelType w:val="hybridMultilevel"/>
    <w:tmpl w:val="766A2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02"/>
    <w:rsid w:val="00014C80"/>
    <w:rsid w:val="000164E2"/>
    <w:rsid w:val="00030007"/>
    <w:rsid w:val="00061563"/>
    <w:rsid w:val="0008766B"/>
    <w:rsid w:val="000A3E52"/>
    <w:rsid w:val="000D3FB1"/>
    <w:rsid w:val="000F7D52"/>
    <w:rsid w:val="0011350E"/>
    <w:rsid w:val="00116F9B"/>
    <w:rsid w:val="00140CA5"/>
    <w:rsid w:val="001470D8"/>
    <w:rsid w:val="001824DF"/>
    <w:rsid w:val="001A2B28"/>
    <w:rsid w:val="001A496C"/>
    <w:rsid w:val="001A55EC"/>
    <w:rsid w:val="001E2382"/>
    <w:rsid w:val="001F35D5"/>
    <w:rsid w:val="00220358"/>
    <w:rsid w:val="00221DBF"/>
    <w:rsid w:val="002410A9"/>
    <w:rsid w:val="002465F5"/>
    <w:rsid w:val="002852CB"/>
    <w:rsid w:val="002A4BE2"/>
    <w:rsid w:val="002A4E80"/>
    <w:rsid w:val="002B1E7C"/>
    <w:rsid w:val="002E4B65"/>
    <w:rsid w:val="0030616A"/>
    <w:rsid w:val="00325B05"/>
    <w:rsid w:val="00342B6C"/>
    <w:rsid w:val="00357EB9"/>
    <w:rsid w:val="0036650B"/>
    <w:rsid w:val="003739CB"/>
    <w:rsid w:val="003741A0"/>
    <w:rsid w:val="00391F34"/>
    <w:rsid w:val="00396366"/>
    <w:rsid w:val="003A0389"/>
    <w:rsid w:val="003A3B23"/>
    <w:rsid w:val="003A4733"/>
    <w:rsid w:val="003A582C"/>
    <w:rsid w:val="003A6428"/>
    <w:rsid w:val="003A79DC"/>
    <w:rsid w:val="003B58A4"/>
    <w:rsid w:val="003C4D57"/>
    <w:rsid w:val="003E51B1"/>
    <w:rsid w:val="003F57B0"/>
    <w:rsid w:val="0041544E"/>
    <w:rsid w:val="00421801"/>
    <w:rsid w:val="004324D0"/>
    <w:rsid w:val="0045301F"/>
    <w:rsid w:val="00465166"/>
    <w:rsid w:val="004667DB"/>
    <w:rsid w:val="00466F48"/>
    <w:rsid w:val="00486D70"/>
    <w:rsid w:val="004A1290"/>
    <w:rsid w:val="004B4DF1"/>
    <w:rsid w:val="004E0E41"/>
    <w:rsid w:val="004E72F0"/>
    <w:rsid w:val="004F07B0"/>
    <w:rsid w:val="004F0919"/>
    <w:rsid w:val="004F2EBC"/>
    <w:rsid w:val="004F3FCA"/>
    <w:rsid w:val="00502ECC"/>
    <w:rsid w:val="00515EC7"/>
    <w:rsid w:val="0051639F"/>
    <w:rsid w:val="00523EC9"/>
    <w:rsid w:val="00525D8B"/>
    <w:rsid w:val="005508EE"/>
    <w:rsid w:val="00560FAA"/>
    <w:rsid w:val="00576D5B"/>
    <w:rsid w:val="0057745F"/>
    <w:rsid w:val="00584579"/>
    <w:rsid w:val="005933D0"/>
    <w:rsid w:val="00593522"/>
    <w:rsid w:val="00594640"/>
    <w:rsid w:val="005A0459"/>
    <w:rsid w:val="005A613B"/>
    <w:rsid w:val="005B3F1A"/>
    <w:rsid w:val="005C6EA6"/>
    <w:rsid w:val="005D2900"/>
    <w:rsid w:val="005F6800"/>
    <w:rsid w:val="00601646"/>
    <w:rsid w:val="00642B8A"/>
    <w:rsid w:val="00660873"/>
    <w:rsid w:val="00664744"/>
    <w:rsid w:val="006B182C"/>
    <w:rsid w:val="006D2FF0"/>
    <w:rsid w:val="006F6C7B"/>
    <w:rsid w:val="007175A7"/>
    <w:rsid w:val="0077353D"/>
    <w:rsid w:val="0077504B"/>
    <w:rsid w:val="007A2217"/>
    <w:rsid w:val="007A6AA6"/>
    <w:rsid w:val="007B2169"/>
    <w:rsid w:val="007B3BCE"/>
    <w:rsid w:val="007B411B"/>
    <w:rsid w:val="007C223D"/>
    <w:rsid w:val="007C7DD5"/>
    <w:rsid w:val="007D71DB"/>
    <w:rsid w:val="007F05D8"/>
    <w:rsid w:val="007F42BD"/>
    <w:rsid w:val="00800387"/>
    <w:rsid w:val="00820536"/>
    <w:rsid w:val="00822EA1"/>
    <w:rsid w:val="0082656D"/>
    <w:rsid w:val="008302EF"/>
    <w:rsid w:val="00845D4F"/>
    <w:rsid w:val="00851986"/>
    <w:rsid w:val="00855E63"/>
    <w:rsid w:val="00870A1E"/>
    <w:rsid w:val="008730ED"/>
    <w:rsid w:val="0088147B"/>
    <w:rsid w:val="008A1AFB"/>
    <w:rsid w:val="008A2B5B"/>
    <w:rsid w:val="008B1E69"/>
    <w:rsid w:val="008C2A7B"/>
    <w:rsid w:val="008C7E8F"/>
    <w:rsid w:val="008D15B4"/>
    <w:rsid w:val="008E11C2"/>
    <w:rsid w:val="008F191C"/>
    <w:rsid w:val="009202D8"/>
    <w:rsid w:val="00934A89"/>
    <w:rsid w:val="0093747B"/>
    <w:rsid w:val="00957390"/>
    <w:rsid w:val="0096350C"/>
    <w:rsid w:val="00967E23"/>
    <w:rsid w:val="00974CD1"/>
    <w:rsid w:val="00992235"/>
    <w:rsid w:val="0099481D"/>
    <w:rsid w:val="009A730A"/>
    <w:rsid w:val="009C5735"/>
    <w:rsid w:val="009E7AD5"/>
    <w:rsid w:val="009F1072"/>
    <w:rsid w:val="009F18EE"/>
    <w:rsid w:val="00A06BF5"/>
    <w:rsid w:val="00A27E02"/>
    <w:rsid w:val="00A30E20"/>
    <w:rsid w:val="00A50D63"/>
    <w:rsid w:val="00A572E4"/>
    <w:rsid w:val="00A65CE5"/>
    <w:rsid w:val="00A71AA3"/>
    <w:rsid w:val="00A77BE1"/>
    <w:rsid w:val="00A84284"/>
    <w:rsid w:val="00A857AC"/>
    <w:rsid w:val="00A917FF"/>
    <w:rsid w:val="00AB7DCC"/>
    <w:rsid w:val="00AC42DC"/>
    <w:rsid w:val="00AC586B"/>
    <w:rsid w:val="00AE597C"/>
    <w:rsid w:val="00B019D7"/>
    <w:rsid w:val="00B043F3"/>
    <w:rsid w:val="00B05E19"/>
    <w:rsid w:val="00B070F1"/>
    <w:rsid w:val="00B63514"/>
    <w:rsid w:val="00B73D3D"/>
    <w:rsid w:val="00BA1540"/>
    <w:rsid w:val="00BB47C2"/>
    <w:rsid w:val="00BD6709"/>
    <w:rsid w:val="00BE5F05"/>
    <w:rsid w:val="00BF7218"/>
    <w:rsid w:val="00C06412"/>
    <w:rsid w:val="00C25492"/>
    <w:rsid w:val="00C43416"/>
    <w:rsid w:val="00C53F5F"/>
    <w:rsid w:val="00C661A4"/>
    <w:rsid w:val="00C82493"/>
    <w:rsid w:val="00C97C65"/>
    <w:rsid w:val="00CC0914"/>
    <w:rsid w:val="00CC14F0"/>
    <w:rsid w:val="00CD4DB6"/>
    <w:rsid w:val="00CF58A4"/>
    <w:rsid w:val="00D0073E"/>
    <w:rsid w:val="00D2218F"/>
    <w:rsid w:val="00D319A6"/>
    <w:rsid w:val="00D450C3"/>
    <w:rsid w:val="00D82452"/>
    <w:rsid w:val="00D90FA9"/>
    <w:rsid w:val="00DA2814"/>
    <w:rsid w:val="00DD44C3"/>
    <w:rsid w:val="00DD7B47"/>
    <w:rsid w:val="00DD7CC4"/>
    <w:rsid w:val="00DE221A"/>
    <w:rsid w:val="00DF1150"/>
    <w:rsid w:val="00DF35D9"/>
    <w:rsid w:val="00DF3F1A"/>
    <w:rsid w:val="00E03603"/>
    <w:rsid w:val="00E204A8"/>
    <w:rsid w:val="00E96C86"/>
    <w:rsid w:val="00EA7C0C"/>
    <w:rsid w:val="00EB60F5"/>
    <w:rsid w:val="00EC2748"/>
    <w:rsid w:val="00EC6515"/>
    <w:rsid w:val="00F07C3F"/>
    <w:rsid w:val="00F15A02"/>
    <w:rsid w:val="00F27FB8"/>
    <w:rsid w:val="00F402C4"/>
    <w:rsid w:val="00F718FB"/>
    <w:rsid w:val="00F739B7"/>
    <w:rsid w:val="00F86AA5"/>
    <w:rsid w:val="00F91D5D"/>
    <w:rsid w:val="00FA0961"/>
    <w:rsid w:val="00FA3E4D"/>
    <w:rsid w:val="00FC3C41"/>
    <w:rsid w:val="00FC751E"/>
    <w:rsid w:val="00FF4080"/>
    <w:rsid w:val="00FF5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4080"/>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F4080"/>
    <w:rPr>
      <w:rFonts w:ascii="Times New Roman" w:eastAsia="Times New Roman" w:hAnsi="Times New Roman" w:cs="Times New Roman"/>
      <w:b/>
      <w:bCs/>
      <w:sz w:val="24"/>
      <w:szCs w:val="24"/>
      <w:lang w:eastAsia="en-US"/>
    </w:rPr>
  </w:style>
  <w:style w:type="paragraph" w:styleId="NoSpacing">
    <w:name w:val="No Spacing"/>
    <w:uiPriority w:val="1"/>
    <w:qFormat/>
    <w:rsid w:val="00FF4080"/>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B6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F5"/>
    <w:rPr>
      <w:rFonts w:ascii="Segoe UI" w:hAnsi="Segoe UI" w:cs="Segoe UI"/>
      <w:sz w:val="18"/>
      <w:szCs w:val="18"/>
    </w:rPr>
  </w:style>
  <w:style w:type="paragraph" w:styleId="BodyText2">
    <w:name w:val="Body Text 2"/>
    <w:basedOn w:val="Normal"/>
    <w:link w:val="BodyText2Char"/>
    <w:uiPriority w:val="99"/>
    <w:rsid w:val="00BB47C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B47C2"/>
    <w:rPr>
      <w:rFonts w:ascii="Times New Roman" w:eastAsia="Times New Roman" w:hAnsi="Times New Roman" w:cs="Times New Roman"/>
      <w:sz w:val="24"/>
      <w:szCs w:val="24"/>
    </w:rPr>
  </w:style>
  <w:style w:type="paragraph" w:styleId="ListParagraph">
    <w:name w:val="List Paragraph"/>
    <w:basedOn w:val="Normal"/>
    <w:uiPriority w:val="34"/>
    <w:qFormat/>
    <w:rsid w:val="00DD44C3"/>
    <w:pPr>
      <w:ind w:left="720"/>
      <w:contextualSpacing/>
    </w:pPr>
  </w:style>
  <w:style w:type="paragraph" w:styleId="Header">
    <w:name w:val="header"/>
    <w:basedOn w:val="Normal"/>
    <w:link w:val="HeaderChar"/>
    <w:uiPriority w:val="99"/>
    <w:unhideWhenUsed/>
    <w:rsid w:val="00523E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3EC9"/>
  </w:style>
  <w:style w:type="paragraph" w:styleId="Footer">
    <w:name w:val="footer"/>
    <w:basedOn w:val="Normal"/>
    <w:link w:val="FooterChar"/>
    <w:uiPriority w:val="99"/>
    <w:unhideWhenUsed/>
    <w:rsid w:val="00523E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3EC9"/>
  </w:style>
  <w:style w:type="paragraph" w:customStyle="1" w:styleId="AralkYok">
    <w:name w:val="Aralık Yok"/>
    <w:rsid w:val="00822EA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4080"/>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F4080"/>
    <w:rPr>
      <w:rFonts w:ascii="Times New Roman" w:eastAsia="Times New Roman" w:hAnsi="Times New Roman" w:cs="Times New Roman"/>
      <w:b/>
      <w:bCs/>
      <w:sz w:val="24"/>
      <w:szCs w:val="24"/>
      <w:lang w:eastAsia="en-US"/>
    </w:rPr>
  </w:style>
  <w:style w:type="paragraph" w:styleId="NoSpacing">
    <w:name w:val="No Spacing"/>
    <w:uiPriority w:val="1"/>
    <w:qFormat/>
    <w:rsid w:val="00FF4080"/>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B6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F5"/>
    <w:rPr>
      <w:rFonts w:ascii="Segoe UI" w:hAnsi="Segoe UI" w:cs="Segoe UI"/>
      <w:sz w:val="18"/>
      <w:szCs w:val="18"/>
    </w:rPr>
  </w:style>
  <w:style w:type="paragraph" w:styleId="BodyText2">
    <w:name w:val="Body Text 2"/>
    <w:basedOn w:val="Normal"/>
    <w:link w:val="BodyText2Char"/>
    <w:uiPriority w:val="99"/>
    <w:rsid w:val="00BB47C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B47C2"/>
    <w:rPr>
      <w:rFonts w:ascii="Times New Roman" w:eastAsia="Times New Roman" w:hAnsi="Times New Roman" w:cs="Times New Roman"/>
      <w:sz w:val="24"/>
      <w:szCs w:val="24"/>
    </w:rPr>
  </w:style>
  <w:style w:type="paragraph" w:styleId="ListParagraph">
    <w:name w:val="List Paragraph"/>
    <w:basedOn w:val="Normal"/>
    <w:uiPriority w:val="34"/>
    <w:qFormat/>
    <w:rsid w:val="00DD44C3"/>
    <w:pPr>
      <w:ind w:left="720"/>
      <w:contextualSpacing/>
    </w:pPr>
  </w:style>
  <w:style w:type="paragraph" w:styleId="Header">
    <w:name w:val="header"/>
    <w:basedOn w:val="Normal"/>
    <w:link w:val="HeaderChar"/>
    <w:uiPriority w:val="99"/>
    <w:unhideWhenUsed/>
    <w:rsid w:val="00523E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3EC9"/>
  </w:style>
  <w:style w:type="paragraph" w:styleId="Footer">
    <w:name w:val="footer"/>
    <w:basedOn w:val="Normal"/>
    <w:link w:val="FooterChar"/>
    <w:uiPriority w:val="99"/>
    <w:unhideWhenUsed/>
    <w:rsid w:val="00523E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3EC9"/>
  </w:style>
  <w:style w:type="paragraph" w:customStyle="1" w:styleId="AralkYok">
    <w:name w:val="Aralık Yok"/>
    <w:rsid w:val="00822EA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0795">
      <w:bodyDiv w:val="1"/>
      <w:marLeft w:val="0"/>
      <w:marRight w:val="0"/>
      <w:marTop w:val="0"/>
      <w:marBottom w:val="0"/>
      <w:divBdr>
        <w:top w:val="none" w:sz="0" w:space="0" w:color="auto"/>
        <w:left w:val="none" w:sz="0" w:space="0" w:color="auto"/>
        <w:bottom w:val="none" w:sz="0" w:space="0" w:color="auto"/>
        <w:right w:val="none" w:sz="0" w:space="0" w:color="auto"/>
      </w:divBdr>
    </w:div>
    <w:div w:id="1856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3BDE-95E1-40F2-A762-8FC44D37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havva.sarp</dc:creator>
  <cp:lastModifiedBy>Sinem01 Demirgil</cp:lastModifiedBy>
  <cp:revision>9</cp:revision>
  <cp:lastPrinted>2020-06-09T13:05:00Z</cp:lastPrinted>
  <dcterms:created xsi:type="dcterms:W3CDTF">2021-07-07T10:49:00Z</dcterms:created>
  <dcterms:modified xsi:type="dcterms:W3CDTF">2021-07-07T10:51:00Z</dcterms:modified>
</cp:coreProperties>
</file>