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24" w:rsidRDefault="003333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69"/>
        <w:gridCol w:w="350"/>
        <w:gridCol w:w="709"/>
        <w:gridCol w:w="6203"/>
      </w:tblGrid>
      <w:tr w:rsidR="002154C0" w:rsidRPr="002154C0" w:rsidTr="005C6D48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24" w:rsidRPr="00333324" w:rsidRDefault="00333324" w:rsidP="0033332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3324">
              <w:rPr>
                <w:rFonts w:ascii="Times New Roman" w:eastAsia="Calibri" w:hAnsi="Times New Roman" w:cs="Times New Roman"/>
                <w:sz w:val="24"/>
                <w:szCs w:val="24"/>
              </w:rPr>
              <w:t>Kuzey Kıbrıs Türk Cumhuriyeti Cumhuriyet Meclisi’nin 17 Ekim 2022 tarihli Beşinci Birleşiminde Oy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birliğiyle</w:t>
            </w:r>
            <w:r w:rsidRPr="00333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kabul olunan “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Kamu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Çalışanlarının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Aylık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Maaş-Ücret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)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ve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Diğer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Ödeneklerinin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Düzenlenmesi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333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(Değişiklik) </w:t>
            </w:r>
            <w:r w:rsidRPr="00333324">
              <w:rPr>
                <w:rFonts w:ascii="Times New Roman" w:eastAsia="Calibri" w:hAnsi="Times New Roman" w:cs="Times New Roman"/>
                <w:sz w:val="24"/>
                <w:szCs w:val="24"/>
              </w:rPr>
              <w:t>Yasası</w:t>
            </w:r>
            <w:r w:rsidRPr="0033332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”</w:t>
            </w:r>
            <w:r w:rsidRPr="003333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Anayasanın 94'üncü maddesinin (1)'inci fıkrası gereğince Kuzey Kıbrıs Türk Cumhuriyeti Cumhurbaşkanı tarafından Resmi Gazete'de yayımlanmak suretiyle ilan olunur.</w:t>
            </w:r>
            <w:r w:rsidRPr="003333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333324" w:rsidRPr="00333324" w:rsidRDefault="00333324" w:rsidP="0033332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333324" w:rsidRPr="00333324" w:rsidRDefault="00333324" w:rsidP="00333324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Sayı: 22</w:t>
            </w:r>
            <w:r w:rsidRPr="003333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/2022</w:t>
            </w:r>
          </w:p>
          <w:p w:rsidR="002154C0" w:rsidRPr="002154C0" w:rsidRDefault="002154C0" w:rsidP="00333324">
            <w:pPr>
              <w:shd w:val="clear" w:color="auto" w:fill="FFFFFF"/>
              <w:spacing w:after="0" w:line="274" w:lineRule="exact"/>
              <w:ind w:lef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2154C0" w:rsidRPr="002154C0" w:rsidTr="005C6D48"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24" w:rsidRPr="002154C0" w:rsidRDefault="00333324" w:rsidP="00333324">
            <w:pPr>
              <w:shd w:val="clear" w:color="auto" w:fill="FFFFFF"/>
              <w:spacing w:after="0" w:line="274" w:lineRule="exact"/>
              <w:ind w:left="22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GB"/>
              </w:rPr>
            </w:pPr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KAMU ÇALIŞANLARININ AYLIK (MAAŞ-ÜCRET) VE DİĞER ÖDENEKLERİNİN </w:t>
            </w:r>
            <w:r w:rsidRPr="002154C0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GB"/>
              </w:rPr>
              <w:t>DÜZENLE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GB"/>
              </w:rPr>
              <w:t>NMESİ (DEĞİŞİKLİK) YASASI</w:t>
            </w:r>
          </w:p>
          <w:p w:rsidR="002154C0" w:rsidRPr="002154C0" w:rsidRDefault="002154C0" w:rsidP="00215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2154C0" w:rsidRPr="002154C0" w:rsidTr="005C6D48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C0" w:rsidRPr="002154C0" w:rsidRDefault="002154C0" w:rsidP="0021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C0" w:rsidRPr="002154C0" w:rsidRDefault="002154C0" w:rsidP="0021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    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Kuzey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Kıbrıs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Türk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Cumhuriyeti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Cumhuriyet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Meclisi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aşağıdaki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Yasayı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yapar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:</w:t>
            </w:r>
          </w:p>
        </w:tc>
      </w:tr>
      <w:tr w:rsidR="002154C0" w:rsidRPr="002154C0" w:rsidTr="005C6D48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C0" w:rsidRPr="002154C0" w:rsidRDefault="002154C0" w:rsidP="0021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C0" w:rsidRPr="002154C0" w:rsidRDefault="002154C0" w:rsidP="0021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2154C0" w:rsidRPr="002154C0" w:rsidTr="005C6D48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4C0" w:rsidRPr="002154C0" w:rsidRDefault="002154C0" w:rsidP="0021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Kısa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İsim</w:t>
            </w:r>
            <w:proofErr w:type="spellEnd"/>
          </w:p>
          <w:p w:rsidR="002154C0" w:rsidRPr="002154C0" w:rsidRDefault="002154C0" w:rsidP="002154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47/2010          </w:t>
            </w:r>
          </w:p>
          <w:p w:rsidR="002154C0" w:rsidRPr="002154C0" w:rsidRDefault="002154C0" w:rsidP="002154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  33/2013      </w:t>
            </w:r>
          </w:p>
          <w:p w:rsidR="002154C0" w:rsidRPr="002154C0" w:rsidRDefault="002154C0" w:rsidP="002154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  18/2014       </w:t>
            </w:r>
          </w:p>
          <w:p w:rsidR="002154C0" w:rsidRPr="002154C0" w:rsidRDefault="002154C0" w:rsidP="002154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    4/2015        </w:t>
            </w:r>
          </w:p>
          <w:p w:rsidR="002154C0" w:rsidRPr="002154C0" w:rsidRDefault="002154C0" w:rsidP="002154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  46/2015    </w:t>
            </w:r>
          </w:p>
          <w:p w:rsidR="002154C0" w:rsidRPr="002154C0" w:rsidRDefault="002154C0" w:rsidP="002154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  45/2017    </w:t>
            </w:r>
          </w:p>
          <w:p w:rsidR="002154C0" w:rsidRPr="002154C0" w:rsidRDefault="002154C0" w:rsidP="002154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  66/2017      </w:t>
            </w:r>
          </w:p>
          <w:p w:rsidR="002154C0" w:rsidRPr="002154C0" w:rsidRDefault="002154C0" w:rsidP="002154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    4/2018</w:t>
            </w:r>
          </w:p>
          <w:p w:rsidR="002154C0" w:rsidRPr="002154C0" w:rsidRDefault="002154C0" w:rsidP="002154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</w:pPr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  36/2018</w:t>
            </w:r>
          </w:p>
          <w:p w:rsidR="002154C0" w:rsidRPr="002154C0" w:rsidRDefault="002154C0" w:rsidP="0021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 w:eastAsia="zh-CN"/>
              </w:rPr>
              <w:t xml:space="preserve">   12/2020</w:t>
            </w:r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4C0" w:rsidRPr="002154C0" w:rsidRDefault="002154C0" w:rsidP="0021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1. Bu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Yasa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,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Kamu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Çalışanlarının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Aylık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Maaş-Ücret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)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ve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Diğer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Ödeneklerinin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Düzenlenmesi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Değişiklik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)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Yasası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olarak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isimlendirilir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ve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aşağıda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“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Esas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Yasa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”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olarak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anılan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Kamu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Çalışanlarının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Aylık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(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Maaş-Ücret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)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ve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Diğer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Ödeneklerinin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Düzenlenmesi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Yasası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ile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birlikte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okunur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 w:eastAsia="zh-CN"/>
              </w:rPr>
              <w:t>.</w:t>
            </w:r>
          </w:p>
        </w:tc>
      </w:tr>
      <w:tr w:rsidR="002154C0" w:rsidRPr="002154C0" w:rsidTr="005C6D48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C0" w:rsidRPr="002154C0" w:rsidRDefault="002154C0" w:rsidP="0021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C0" w:rsidRPr="002154C0" w:rsidRDefault="002154C0" w:rsidP="0021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2154C0" w:rsidRPr="002154C0" w:rsidTr="005C6D48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C0" w:rsidRPr="002154C0" w:rsidRDefault="002154C0" w:rsidP="0021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Esas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Yasanın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7’nci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ve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21’inci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Maddelerine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Bağlı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BİRİNCİ </w:t>
            </w:r>
            <w:proofErr w:type="spellStart"/>
            <w:r w:rsidR="00636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ve</w:t>
            </w:r>
            <w:proofErr w:type="spellEnd"/>
            <w:r w:rsidR="00636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İKİNCİ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CETVEL’in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Değiştirilmesi</w:t>
            </w:r>
            <w:proofErr w:type="spellEnd"/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4C0" w:rsidRPr="002154C0" w:rsidRDefault="002154C0" w:rsidP="0021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2.</w:t>
            </w:r>
            <w:r w:rsidR="00216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16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Esas</w:t>
            </w:r>
            <w:proofErr w:type="spellEnd"/>
            <w:r w:rsidR="00216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16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Yasa</w:t>
            </w:r>
            <w:proofErr w:type="spellEnd"/>
            <w:r w:rsidR="00216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, 7’nci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ve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21’inci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maddelerine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bağlı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BİRİNCİ </w:t>
            </w:r>
            <w:proofErr w:type="spellStart"/>
            <w:r w:rsidR="00636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ve</w:t>
            </w:r>
            <w:proofErr w:type="spellEnd"/>
            <w:r w:rsidR="00636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İKİNCİ </w:t>
            </w:r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CETVEL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kaldırılmak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ve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yerine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bu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Yasaya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ek’li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yeni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BİRİNCİ </w:t>
            </w:r>
            <w:proofErr w:type="spellStart"/>
            <w:r w:rsidR="00636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ve</w:t>
            </w:r>
            <w:proofErr w:type="spellEnd"/>
            <w:r w:rsidR="006362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İKİNCİ </w:t>
            </w:r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CETVEL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konmak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suretiyle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değiştirilir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r w:rsidRPr="002154C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2154C0" w:rsidRPr="002154C0" w:rsidRDefault="002154C0" w:rsidP="002154C0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GB"/>
              </w:rPr>
            </w:pPr>
            <w:r w:rsidRPr="002154C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GB"/>
              </w:rPr>
              <w:t xml:space="preserve">     </w:t>
            </w:r>
          </w:p>
          <w:p w:rsidR="002154C0" w:rsidRPr="002154C0" w:rsidRDefault="002154C0" w:rsidP="0021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2154C0" w:rsidRPr="002154C0" w:rsidTr="005C6D48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C0" w:rsidRPr="002154C0" w:rsidRDefault="002154C0" w:rsidP="002154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C0" w:rsidRPr="002154C0" w:rsidRDefault="002154C0" w:rsidP="0021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</w:pPr>
          </w:p>
        </w:tc>
      </w:tr>
      <w:tr w:rsidR="002154C0" w:rsidRPr="002154C0" w:rsidTr="005C6D48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C0" w:rsidRPr="002154C0" w:rsidRDefault="002154C0" w:rsidP="002154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Esas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Yasanın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22’nci </w:t>
            </w: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Maddesinin</w:t>
            </w:r>
            <w:proofErr w:type="spellEnd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C0" w:rsidRPr="002154C0" w:rsidRDefault="002154C0" w:rsidP="0021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</w:pPr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3. </w:t>
            </w:r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Esas Yasa, 22'nci maddesinin (3)’üncü fıkrası kaldırılmak ve yerine aşağıdaki yeni (3)’üncü ve (4)’üncü fıkra</w:t>
            </w:r>
            <w:r w:rsidR="0051697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lar</w:t>
            </w:r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konmak suretiyle değiştirilir:</w:t>
            </w:r>
          </w:p>
        </w:tc>
      </w:tr>
      <w:tr w:rsidR="002154C0" w:rsidRPr="002154C0" w:rsidTr="005C6D48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C0" w:rsidRPr="002154C0" w:rsidRDefault="002154C0" w:rsidP="0021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Değiştirilmesi</w:t>
            </w:r>
            <w:proofErr w:type="spellEnd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C0" w:rsidRPr="002154C0" w:rsidRDefault="002154C0" w:rsidP="00215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4C0" w:rsidRPr="002154C0" w:rsidRDefault="002154C0" w:rsidP="0021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“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C0" w:rsidRPr="002154C0" w:rsidRDefault="002154C0" w:rsidP="0021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(3)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C0" w:rsidRPr="002154C0" w:rsidRDefault="002154C0" w:rsidP="0021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Yöneticilik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Hizmetleri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Sınıfına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atanan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bir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kamu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çalışanı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bulunduğu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derecenin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bareminin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ilk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kademesinden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(1)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başlayarak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bu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Yasanın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ilgili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maddelerinin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öngörmüş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olduğu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koşullara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uygun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olarak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alacağı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kademe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ilerlemeleri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ile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bulunduğu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derecenin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bareminin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son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kademesine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(14)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kadar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ilerler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.</w:t>
            </w:r>
          </w:p>
        </w:tc>
      </w:tr>
      <w:tr w:rsidR="002154C0" w:rsidRPr="002154C0" w:rsidTr="005C6D48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C0" w:rsidRPr="002154C0" w:rsidRDefault="002154C0" w:rsidP="0021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C0" w:rsidRPr="002154C0" w:rsidRDefault="002154C0" w:rsidP="00215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C0" w:rsidRPr="002154C0" w:rsidRDefault="002154C0" w:rsidP="0021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C0" w:rsidRPr="002154C0" w:rsidRDefault="002154C0" w:rsidP="0021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54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  <w:t>(4)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C0" w:rsidRPr="002154C0" w:rsidRDefault="002154C0" w:rsidP="0021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</w:pP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Yöneticilik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Hizmetleri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Sınıfı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dışında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bir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Hizmet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Sınıfına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atanan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bir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kamu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çalışanı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bu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Yasanın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ilgili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maddelerinin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öngörmüş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olduğu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koşullara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uygun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olarak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alacağı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kademe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ilerlemeleri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ile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içinde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bulunduğu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Hizmet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Sınıfının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en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üst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derecesinin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son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kademesine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(14)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kadar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ilerlemeye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devam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eder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.”</w:t>
            </w:r>
          </w:p>
        </w:tc>
      </w:tr>
      <w:tr w:rsidR="002154C0" w:rsidRPr="002154C0" w:rsidTr="005C6D48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C0" w:rsidRPr="002154C0" w:rsidRDefault="002154C0" w:rsidP="0021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4C0" w:rsidRPr="002154C0" w:rsidRDefault="002154C0" w:rsidP="0021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2154C0" w:rsidRPr="002154C0" w:rsidTr="005C6D48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4C0" w:rsidRPr="002154C0" w:rsidRDefault="002154C0" w:rsidP="00215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Yürürlüğe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Giriş</w:t>
            </w:r>
            <w:proofErr w:type="spellEnd"/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4C0" w:rsidRPr="002154C0" w:rsidRDefault="002154C0" w:rsidP="00215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3. Bu </w:t>
            </w:r>
            <w:proofErr w:type="spellStart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Yasa</w:t>
            </w:r>
            <w:proofErr w:type="spellEnd"/>
            <w:r w:rsidRPr="002154C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1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Eylül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2022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tarihinden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başlayarak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yürürlüğe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>girer</w:t>
            </w:r>
            <w:proofErr w:type="spellEnd"/>
            <w:r w:rsidRPr="002154C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en-GB"/>
              </w:rPr>
              <w:t xml:space="preserve">. </w:t>
            </w:r>
          </w:p>
        </w:tc>
      </w:tr>
    </w:tbl>
    <w:p w:rsidR="002154C0" w:rsidRPr="002154C0" w:rsidRDefault="002154C0" w:rsidP="002154C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154C0" w:rsidRPr="002154C0" w:rsidRDefault="002154C0" w:rsidP="002154C0">
      <w:pPr>
        <w:rPr>
          <w:rFonts w:ascii="Times New Roman" w:eastAsia="Calibri" w:hAnsi="Times New Roman" w:cs="Times New Roman"/>
          <w:sz w:val="24"/>
          <w:szCs w:val="24"/>
        </w:rPr>
      </w:pPr>
    </w:p>
    <w:p w:rsidR="00E82FBF" w:rsidRDefault="00E82FBF"/>
    <w:sectPr w:rsidR="00E82FBF" w:rsidSect="0048768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D4" w:rsidRDefault="00EB50D4">
      <w:pPr>
        <w:spacing w:after="0" w:line="240" w:lineRule="auto"/>
      </w:pPr>
      <w:r>
        <w:separator/>
      </w:r>
    </w:p>
  </w:endnote>
  <w:endnote w:type="continuationSeparator" w:id="0">
    <w:p w:rsidR="00EB50D4" w:rsidRDefault="00EB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686" w:rsidRDefault="00630DD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3324">
      <w:rPr>
        <w:noProof/>
      </w:rPr>
      <w:t>2</w:t>
    </w:r>
    <w:r>
      <w:rPr>
        <w:noProof/>
      </w:rPr>
      <w:fldChar w:fldCharType="end"/>
    </w:r>
  </w:p>
  <w:p w:rsidR="00487686" w:rsidRDefault="00EB5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D4" w:rsidRDefault="00EB50D4">
      <w:pPr>
        <w:spacing w:after="0" w:line="240" w:lineRule="auto"/>
      </w:pPr>
      <w:r>
        <w:separator/>
      </w:r>
    </w:p>
  </w:footnote>
  <w:footnote w:type="continuationSeparator" w:id="0">
    <w:p w:rsidR="00EB50D4" w:rsidRDefault="00EB5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C0"/>
    <w:rsid w:val="002154C0"/>
    <w:rsid w:val="00216D5D"/>
    <w:rsid w:val="00333324"/>
    <w:rsid w:val="0051697F"/>
    <w:rsid w:val="00630DD2"/>
    <w:rsid w:val="00636259"/>
    <w:rsid w:val="00975FA1"/>
    <w:rsid w:val="00C64D30"/>
    <w:rsid w:val="00E82FBF"/>
    <w:rsid w:val="00EB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1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15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Feyza Sarıkamış</dc:creator>
  <cp:lastModifiedBy>Nedret Beyaz</cp:lastModifiedBy>
  <cp:revision>3</cp:revision>
  <dcterms:created xsi:type="dcterms:W3CDTF">2022-10-27T09:10:00Z</dcterms:created>
  <dcterms:modified xsi:type="dcterms:W3CDTF">2022-10-27T09:12:00Z</dcterms:modified>
</cp:coreProperties>
</file>