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257" w:rsidRDefault="00B26257" w:rsidP="00B26257">
      <w:pPr>
        <w:ind w:right="200"/>
        <w:jc w:val="both"/>
      </w:pPr>
      <w:proofErr w:type="spellStart"/>
      <w:r>
        <w:t>Kuzey</w:t>
      </w:r>
      <w:proofErr w:type="spellEnd"/>
      <w:r>
        <w:t xml:space="preserve"> </w:t>
      </w:r>
      <w:proofErr w:type="spellStart"/>
      <w:r>
        <w:t>Kıbrıs</w:t>
      </w:r>
      <w:proofErr w:type="spellEnd"/>
      <w:r>
        <w:t xml:space="preserve"> </w:t>
      </w:r>
      <w:proofErr w:type="spellStart"/>
      <w:r>
        <w:t>Türk</w:t>
      </w:r>
      <w:proofErr w:type="spellEnd"/>
      <w:r>
        <w:t xml:space="preserve"> </w:t>
      </w:r>
      <w:proofErr w:type="spellStart"/>
      <w:r>
        <w:t>Cumhuriyeti</w:t>
      </w:r>
      <w:proofErr w:type="spellEnd"/>
      <w:r>
        <w:t xml:space="preserve"> </w:t>
      </w:r>
      <w:proofErr w:type="spellStart"/>
      <w:r>
        <w:t>Cumhuriyet</w:t>
      </w:r>
      <w:proofErr w:type="spellEnd"/>
      <w:r>
        <w:t xml:space="preserve"> </w:t>
      </w:r>
      <w:proofErr w:type="spellStart"/>
      <w:r>
        <w:t>Meclisi’nin</w:t>
      </w:r>
      <w:proofErr w:type="spellEnd"/>
      <w:r>
        <w:t xml:space="preserve"> 28 </w:t>
      </w:r>
      <w:proofErr w:type="spellStart"/>
      <w:r>
        <w:t>Temmuz</w:t>
      </w:r>
      <w:proofErr w:type="spellEnd"/>
      <w:r>
        <w:t xml:space="preserve"> 2020 </w:t>
      </w:r>
      <w:proofErr w:type="spellStart"/>
      <w:r>
        <w:t>tarihli</w:t>
      </w:r>
      <w:proofErr w:type="spellEnd"/>
      <w:r>
        <w:t xml:space="preserve"> </w:t>
      </w:r>
      <w:proofErr w:type="spellStart"/>
      <w:r>
        <w:t>Beşinci</w:t>
      </w:r>
      <w:proofErr w:type="spellEnd"/>
      <w:r>
        <w:t xml:space="preserve"> </w:t>
      </w:r>
      <w:proofErr w:type="spellStart"/>
      <w:r>
        <w:t>Olağanüstü</w:t>
      </w:r>
      <w:proofErr w:type="spellEnd"/>
      <w:r>
        <w:t xml:space="preserve"> </w:t>
      </w:r>
      <w:proofErr w:type="spellStart"/>
      <w:r>
        <w:t>Birleşiminde</w:t>
      </w:r>
      <w:proofErr w:type="spellEnd"/>
      <w:r>
        <w:t xml:space="preserve"> </w:t>
      </w:r>
      <w:proofErr w:type="spellStart"/>
      <w:r>
        <w:t>Oybirliğiyle</w:t>
      </w:r>
      <w:proofErr w:type="spellEnd"/>
      <w:r>
        <w:t xml:space="preserve"> </w:t>
      </w:r>
      <w:proofErr w:type="spellStart"/>
      <w:r>
        <w:t>kabul</w:t>
      </w:r>
      <w:proofErr w:type="spellEnd"/>
      <w:r>
        <w:t xml:space="preserve"> </w:t>
      </w:r>
      <w:proofErr w:type="spellStart"/>
      <w:r>
        <w:t>olunan</w:t>
      </w:r>
      <w:proofErr w:type="spellEnd"/>
      <w:r>
        <w:t xml:space="preserve"> “</w:t>
      </w:r>
      <w:proofErr w:type="spellStart"/>
      <w:r w:rsidRPr="00E6530A">
        <w:rPr>
          <w:color w:val="00000A"/>
          <w:spacing w:val="2"/>
          <w:lang w:eastAsia="tr-TR"/>
        </w:rPr>
        <w:t>Kuzey</w:t>
      </w:r>
      <w:proofErr w:type="spellEnd"/>
      <w:r w:rsidRPr="00E6530A">
        <w:rPr>
          <w:color w:val="00000A"/>
          <w:spacing w:val="2"/>
          <w:lang w:eastAsia="tr-TR"/>
        </w:rPr>
        <w:t xml:space="preserve"> </w:t>
      </w:r>
      <w:proofErr w:type="spellStart"/>
      <w:r w:rsidRPr="00E6530A">
        <w:rPr>
          <w:color w:val="00000A"/>
          <w:spacing w:val="2"/>
          <w:lang w:eastAsia="tr-TR"/>
        </w:rPr>
        <w:t>Kıbrıs</w:t>
      </w:r>
      <w:proofErr w:type="spellEnd"/>
      <w:r w:rsidRPr="00E6530A">
        <w:rPr>
          <w:color w:val="00000A"/>
          <w:spacing w:val="2"/>
          <w:lang w:eastAsia="tr-TR"/>
        </w:rPr>
        <w:t xml:space="preserve"> </w:t>
      </w:r>
      <w:proofErr w:type="spellStart"/>
      <w:r w:rsidRPr="00E6530A">
        <w:rPr>
          <w:color w:val="00000A"/>
          <w:spacing w:val="2"/>
          <w:lang w:eastAsia="tr-TR"/>
        </w:rPr>
        <w:t>Türk</w:t>
      </w:r>
      <w:proofErr w:type="spellEnd"/>
      <w:r w:rsidRPr="00E6530A">
        <w:rPr>
          <w:color w:val="00000A"/>
          <w:spacing w:val="2"/>
          <w:lang w:eastAsia="tr-TR"/>
        </w:rPr>
        <w:t xml:space="preserve"> </w:t>
      </w:r>
      <w:proofErr w:type="spellStart"/>
      <w:r w:rsidRPr="00E6530A">
        <w:rPr>
          <w:color w:val="00000A"/>
          <w:spacing w:val="2"/>
          <w:lang w:eastAsia="tr-TR"/>
        </w:rPr>
        <w:t>Cumhuriyeti</w:t>
      </w:r>
      <w:proofErr w:type="spellEnd"/>
      <w:r w:rsidRPr="00E6530A">
        <w:rPr>
          <w:color w:val="00000A"/>
          <w:spacing w:val="2"/>
          <w:lang w:eastAsia="tr-TR"/>
        </w:rPr>
        <w:t xml:space="preserve"> </w:t>
      </w:r>
      <w:proofErr w:type="spellStart"/>
      <w:r w:rsidRPr="00E6530A">
        <w:rPr>
          <w:color w:val="00000A"/>
          <w:spacing w:val="2"/>
          <w:lang w:eastAsia="tr-TR"/>
        </w:rPr>
        <w:t>Hükümeti</w:t>
      </w:r>
      <w:proofErr w:type="spellEnd"/>
      <w:r w:rsidRPr="00E6530A">
        <w:rPr>
          <w:color w:val="00000A"/>
          <w:spacing w:val="2"/>
          <w:lang w:eastAsia="tr-TR"/>
        </w:rPr>
        <w:t xml:space="preserve"> (KKTC) İle </w:t>
      </w:r>
      <w:proofErr w:type="spellStart"/>
      <w:r w:rsidRPr="00E6530A">
        <w:rPr>
          <w:color w:val="00000A"/>
          <w:spacing w:val="2"/>
          <w:lang w:eastAsia="tr-TR"/>
        </w:rPr>
        <w:t>Türkiye</w:t>
      </w:r>
      <w:proofErr w:type="spellEnd"/>
      <w:r w:rsidRPr="00E6530A">
        <w:rPr>
          <w:color w:val="00000A"/>
          <w:spacing w:val="2"/>
          <w:lang w:eastAsia="tr-TR"/>
        </w:rPr>
        <w:t xml:space="preserve"> </w:t>
      </w:r>
      <w:proofErr w:type="spellStart"/>
      <w:r w:rsidRPr="00E6530A">
        <w:rPr>
          <w:color w:val="00000A"/>
          <w:spacing w:val="2"/>
          <w:lang w:eastAsia="tr-TR"/>
        </w:rPr>
        <w:t>Cumhuriyeti</w:t>
      </w:r>
      <w:proofErr w:type="spellEnd"/>
      <w:r w:rsidRPr="00E6530A">
        <w:rPr>
          <w:color w:val="00000A"/>
          <w:spacing w:val="2"/>
          <w:lang w:eastAsia="tr-TR"/>
        </w:rPr>
        <w:t xml:space="preserve"> (TC) </w:t>
      </w:r>
      <w:proofErr w:type="spellStart"/>
      <w:r w:rsidRPr="00E6530A">
        <w:rPr>
          <w:color w:val="00000A"/>
          <w:spacing w:val="2"/>
          <w:lang w:eastAsia="tr-TR"/>
        </w:rPr>
        <w:t>Hükümeti</w:t>
      </w:r>
      <w:proofErr w:type="spellEnd"/>
      <w:r w:rsidRPr="00E6530A">
        <w:rPr>
          <w:color w:val="00000A"/>
          <w:spacing w:val="2"/>
          <w:lang w:eastAsia="tr-TR"/>
        </w:rPr>
        <w:t xml:space="preserve"> </w:t>
      </w:r>
      <w:proofErr w:type="spellStart"/>
      <w:r w:rsidRPr="00E6530A">
        <w:rPr>
          <w:color w:val="00000A"/>
          <w:spacing w:val="2"/>
          <w:lang w:eastAsia="tr-TR"/>
        </w:rPr>
        <w:t>Arasında</w:t>
      </w:r>
      <w:proofErr w:type="spellEnd"/>
      <w:r w:rsidRPr="00E6530A">
        <w:rPr>
          <w:color w:val="00000A"/>
          <w:spacing w:val="2"/>
          <w:lang w:eastAsia="tr-TR"/>
        </w:rPr>
        <w:t xml:space="preserve"> </w:t>
      </w:r>
      <w:proofErr w:type="spellStart"/>
      <w:r w:rsidRPr="00E6530A">
        <w:rPr>
          <w:color w:val="00000A"/>
          <w:spacing w:val="2"/>
          <w:lang w:eastAsia="tr-TR"/>
        </w:rPr>
        <w:t>Haritacılık</w:t>
      </w:r>
      <w:proofErr w:type="spellEnd"/>
      <w:r w:rsidRPr="00E6530A">
        <w:rPr>
          <w:color w:val="00000A"/>
          <w:spacing w:val="2"/>
          <w:lang w:eastAsia="tr-TR"/>
        </w:rPr>
        <w:t xml:space="preserve"> </w:t>
      </w:r>
      <w:proofErr w:type="spellStart"/>
      <w:r w:rsidRPr="00E6530A">
        <w:rPr>
          <w:color w:val="00000A"/>
          <w:spacing w:val="2"/>
          <w:lang w:eastAsia="tr-TR"/>
        </w:rPr>
        <w:t>Alanında</w:t>
      </w:r>
      <w:proofErr w:type="spellEnd"/>
      <w:r w:rsidRPr="00E6530A">
        <w:rPr>
          <w:color w:val="00000A"/>
          <w:spacing w:val="2"/>
          <w:lang w:eastAsia="tr-TR"/>
        </w:rPr>
        <w:t xml:space="preserve"> </w:t>
      </w:r>
      <w:proofErr w:type="spellStart"/>
      <w:r w:rsidRPr="00E6530A">
        <w:rPr>
          <w:color w:val="00000A"/>
          <w:spacing w:val="2"/>
          <w:lang w:eastAsia="tr-TR"/>
        </w:rPr>
        <w:t>Yapılan</w:t>
      </w:r>
      <w:proofErr w:type="spellEnd"/>
      <w:r w:rsidRPr="00E6530A">
        <w:rPr>
          <w:color w:val="00000A"/>
          <w:spacing w:val="2"/>
          <w:lang w:eastAsia="tr-TR"/>
        </w:rPr>
        <w:t xml:space="preserve"> </w:t>
      </w:r>
      <w:proofErr w:type="spellStart"/>
      <w:r w:rsidRPr="00E6530A">
        <w:rPr>
          <w:color w:val="00000A"/>
          <w:spacing w:val="2"/>
          <w:lang w:eastAsia="tr-TR"/>
        </w:rPr>
        <w:t>İşbirliği</w:t>
      </w:r>
      <w:proofErr w:type="spellEnd"/>
      <w:r w:rsidRPr="00E6530A">
        <w:rPr>
          <w:color w:val="00000A"/>
          <w:spacing w:val="2"/>
          <w:lang w:eastAsia="tr-TR"/>
        </w:rPr>
        <w:t xml:space="preserve"> </w:t>
      </w:r>
      <w:proofErr w:type="spellStart"/>
      <w:r w:rsidRPr="00E6530A">
        <w:rPr>
          <w:color w:val="00000A"/>
          <w:spacing w:val="2"/>
          <w:lang w:eastAsia="tr-TR"/>
        </w:rPr>
        <w:t>Protokolü</w:t>
      </w:r>
      <w:proofErr w:type="spellEnd"/>
      <w:r w:rsidRPr="00E6530A">
        <w:rPr>
          <w:color w:val="00000A"/>
          <w:spacing w:val="2"/>
          <w:lang w:eastAsia="tr-TR"/>
        </w:rPr>
        <w:t xml:space="preserve"> (</w:t>
      </w:r>
      <w:proofErr w:type="spellStart"/>
      <w:r w:rsidRPr="00E6530A">
        <w:rPr>
          <w:color w:val="00000A"/>
          <w:spacing w:val="2"/>
          <w:lang w:eastAsia="tr-TR"/>
        </w:rPr>
        <w:t>Onay</w:t>
      </w:r>
      <w:proofErr w:type="spellEnd"/>
      <w:r w:rsidRPr="00E6530A">
        <w:rPr>
          <w:color w:val="00000A"/>
          <w:spacing w:val="2"/>
          <w:lang w:eastAsia="tr-TR"/>
        </w:rPr>
        <w:t xml:space="preserve">) </w:t>
      </w:r>
      <w:proofErr w:type="spellStart"/>
      <w:r w:rsidRPr="00E6530A">
        <w:rPr>
          <w:color w:val="00000A"/>
          <w:spacing w:val="2"/>
          <w:lang w:eastAsia="tr-TR"/>
        </w:rPr>
        <w:t>Yasası</w:t>
      </w:r>
      <w:proofErr w:type="spellEnd"/>
      <w:r>
        <w:t xml:space="preserve">” </w:t>
      </w:r>
      <w:proofErr w:type="spellStart"/>
      <w:r>
        <w:t>Anayasanın</w:t>
      </w:r>
      <w:proofErr w:type="spellEnd"/>
      <w:r>
        <w:t xml:space="preserve"> 94’üncü </w:t>
      </w:r>
      <w:proofErr w:type="spellStart"/>
      <w:r>
        <w:t>maddesinin</w:t>
      </w:r>
      <w:proofErr w:type="spellEnd"/>
      <w:r>
        <w:t xml:space="preserve"> (l)’</w:t>
      </w:r>
      <w:proofErr w:type="spellStart"/>
      <w:r>
        <w:t>inci</w:t>
      </w:r>
      <w:proofErr w:type="spellEnd"/>
      <w:r>
        <w:t xml:space="preserve"> </w:t>
      </w:r>
      <w:proofErr w:type="spellStart"/>
      <w:r>
        <w:t>fıkrası</w:t>
      </w:r>
      <w:proofErr w:type="spellEnd"/>
      <w:r>
        <w:t xml:space="preserve"> </w:t>
      </w:r>
      <w:proofErr w:type="spellStart"/>
      <w:r>
        <w:t>gereğince</w:t>
      </w:r>
      <w:proofErr w:type="spellEnd"/>
      <w:r>
        <w:t xml:space="preserve"> </w:t>
      </w:r>
      <w:proofErr w:type="spellStart"/>
      <w:r>
        <w:t>Kuzey</w:t>
      </w:r>
      <w:proofErr w:type="spellEnd"/>
      <w:r>
        <w:t xml:space="preserve"> </w:t>
      </w:r>
      <w:proofErr w:type="spellStart"/>
      <w:r>
        <w:t>Kıbrıs</w:t>
      </w:r>
      <w:proofErr w:type="spellEnd"/>
      <w:r>
        <w:t xml:space="preserve"> </w:t>
      </w:r>
      <w:proofErr w:type="spellStart"/>
      <w:r>
        <w:t>Türk</w:t>
      </w:r>
      <w:proofErr w:type="spellEnd"/>
      <w:r>
        <w:t xml:space="preserve"> </w:t>
      </w:r>
      <w:proofErr w:type="spellStart"/>
      <w:r>
        <w:t>Cumhuriyeti</w:t>
      </w:r>
      <w:proofErr w:type="spellEnd"/>
      <w:r>
        <w:t xml:space="preserve"> </w:t>
      </w:r>
      <w:proofErr w:type="spellStart"/>
      <w:r>
        <w:t>Cumhurbaşkanı</w:t>
      </w:r>
      <w:proofErr w:type="spellEnd"/>
      <w:r>
        <w:t xml:space="preserve"> </w:t>
      </w:r>
      <w:proofErr w:type="spellStart"/>
      <w:r>
        <w:t>tarafından</w:t>
      </w:r>
      <w:proofErr w:type="spellEnd"/>
      <w:r>
        <w:t xml:space="preserve"> </w:t>
      </w:r>
      <w:proofErr w:type="spellStart"/>
      <w:r>
        <w:t>Resmi</w:t>
      </w:r>
      <w:proofErr w:type="spellEnd"/>
      <w:r>
        <w:t xml:space="preserve"> </w:t>
      </w:r>
      <w:proofErr w:type="spellStart"/>
      <w:r>
        <w:t>Gazete’de</w:t>
      </w:r>
      <w:proofErr w:type="spellEnd"/>
      <w:r>
        <w:t xml:space="preserve"> </w:t>
      </w:r>
      <w:proofErr w:type="spellStart"/>
      <w:r>
        <w:t>yayımlanmak</w:t>
      </w:r>
      <w:proofErr w:type="spellEnd"/>
      <w:r>
        <w:t xml:space="preserve"> </w:t>
      </w:r>
      <w:proofErr w:type="spellStart"/>
      <w:r>
        <w:t>suretiyle</w:t>
      </w:r>
      <w:proofErr w:type="spellEnd"/>
      <w:r>
        <w:t xml:space="preserve"> </w:t>
      </w:r>
      <w:proofErr w:type="spellStart"/>
      <w:r>
        <w:t>ilan</w:t>
      </w:r>
      <w:proofErr w:type="spellEnd"/>
      <w:r>
        <w:t xml:space="preserve"> </w:t>
      </w:r>
      <w:proofErr w:type="spellStart"/>
      <w:r>
        <w:t>olunur</w:t>
      </w:r>
      <w:proofErr w:type="spellEnd"/>
      <w:r>
        <w:t xml:space="preserve">. </w:t>
      </w:r>
    </w:p>
    <w:p w:rsidR="008C4C4E" w:rsidRDefault="008C4C4E" w:rsidP="008C4C4E">
      <w:pPr>
        <w:spacing w:after="200" w:line="276" w:lineRule="auto"/>
      </w:pPr>
    </w:p>
    <w:tbl>
      <w:tblPr>
        <w:tblW w:w="9622" w:type="dxa"/>
        <w:tblLayout w:type="fixed"/>
        <w:tblLook w:val="04A0" w:firstRow="1" w:lastRow="0" w:firstColumn="1" w:lastColumn="0" w:noHBand="0" w:noVBand="1"/>
      </w:tblPr>
      <w:tblGrid>
        <w:gridCol w:w="2088"/>
        <w:gridCol w:w="540"/>
        <w:gridCol w:w="6994"/>
      </w:tblGrid>
      <w:tr w:rsidR="008C4C4E" w:rsidRPr="008C4C4E" w:rsidTr="007468B3">
        <w:trPr>
          <w:trHeight w:val="1005"/>
        </w:trPr>
        <w:tc>
          <w:tcPr>
            <w:tcW w:w="9622" w:type="dxa"/>
            <w:gridSpan w:val="3"/>
          </w:tcPr>
          <w:p w:rsidR="008C4C4E" w:rsidRPr="008C4C4E" w:rsidRDefault="008C4C4E" w:rsidP="007468B3">
            <w:pPr>
              <w:jc w:val="center"/>
              <w:rPr>
                <w:lang w:val="tr-TR" w:eastAsia="tr-TR"/>
              </w:rPr>
            </w:pPr>
            <w:r>
              <w:br w:type="page"/>
            </w:r>
            <w:r w:rsidRPr="008C4C4E">
              <w:rPr>
                <w:lang w:val="tr-TR" w:eastAsia="tr-TR"/>
              </w:rPr>
              <w:t xml:space="preserve">TÜRKİYE CUMHURİYETİ YÜKSEKÖĞRETİM KURULU İLE KUZEY KIBRIS TÜRK CUMHURİYETİ MİLLİ EĞİTİM VE KÜLTÜR BAKANLIĞI ARASINDA  YÜKSEKÖĞRETİM ALANINDA İŞBİRLİĞİNE YÖNELİK MUTABAKAT ZAPTININ ONAYLANMASININ UYGUN </w:t>
            </w:r>
            <w:r w:rsidR="007468B3">
              <w:rPr>
                <w:lang w:val="tr-TR" w:eastAsia="tr-TR"/>
              </w:rPr>
              <w:t>BULUNMASINA İLİŞKİN (ONAY) YASASI</w:t>
            </w:r>
          </w:p>
        </w:tc>
      </w:tr>
      <w:tr w:rsidR="008C4C4E" w:rsidRPr="008C4C4E" w:rsidTr="007468B3">
        <w:tc>
          <w:tcPr>
            <w:tcW w:w="2088" w:type="dxa"/>
          </w:tcPr>
          <w:p w:rsidR="008C4C4E" w:rsidRPr="008C4C4E" w:rsidRDefault="008C4C4E" w:rsidP="008C4C4E">
            <w:pPr>
              <w:widowControl w:val="0"/>
              <w:tabs>
                <w:tab w:val="left" w:pos="0"/>
                <w:tab w:val="left" w:pos="830"/>
              </w:tabs>
              <w:suppressAutoHyphens/>
              <w:jc w:val="both"/>
              <w:rPr>
                <w:lang w:val="tr-TR" w:eastAsia="tr-TR"/>
              </w:rPr>
            </w:pPr>
          </w:p>
        </w:tc>
        <w:tc>
          <w:tcPr>
            <w:tcW w:w="7534" w:type="dxa"/>
            <w:gridSpan w:val="2"/>
          </w:tcPr>
          <w:p w:rsidR="008C4C4E" w:rsidRPr="008C4C4E" w:rsidRDefault="008C4C4E" w:rsidP="008C4C4E">
            <w:pPr>
              <w:widowControl w:val="0"/>
              <w:tabs>
                <w:tab w:val="left" w:pos="0"/>
                <w:tab w:val="left" w:pos="830"/>
              </w:tabs>
              <w:suppressAutoHyphens/>
              <w:jc w:val="both"/>
              <w:rPr>
                <w:lang w:val="tr-TR" w:eastAsia="tr-TR"/>
              </w:rPr>
            </w:pPr>
          </w:p>
        </w:tc>
      </w:tr>
      <w:tr w:rsidR="008C4C4E" w:rsidRPr="008C4C4E" w:rsidTr="007468B3">
        <w:tc>
          <w:tcPr>
            <w:tcW w:w="2088" w:type="dxa"/>
          </w:tcPr>
          <w:p w:rsidR="008C4C4E" w:rsidRPr="008C4C4E" w:rsidRDefault="008C4C4E" w:rsidP="008C4C4E">
            <w:pPr>
              <w:widowControl w:val="0"/>
              <w:tabs>
                <w:tab w:val="left" w:pos="0"/>
                <w:tab w:val="left" w:pos="830"/>
              </w:tabs>
              <w:suppressAutoHyphens/>
              <w:jc w:val="both"/>
              <w:rPr>
                <w:lang w:val="tr-TR" w:eastAsia="tr-TR"/>
              </w:rPr>
            </w:pPr>
          </w:p>
        </w:tc>
        <w:tc>
          <w:tcPr>
            <w:tcW w:w="7534" w:type="dxa"/>
            <w:gridSpan w:val="2"/>
          </w:tcPr>
          <w:p w:rsidR="008C4C4E" w:rsidRDefault="00B26257" w:rsidP="008C4C4E">
            <w:pPr>
              <w:widowControl w:val="0"/>
              <w:tabs>
                <w:tab w:val="left" w:pos="0"/>
                <w:tab w:val="left" w:pos="830"/>
              </w:tabs>
              <w:suppressAutoHyphens/>
              <w:jc w:val="both"/>
              <w:rPr>
                <w:lang w:val="tr-TR" w:eastAsia="tr-TR"/>
              </w:rPr>
            </w:pPr>
            <w:r>
              <w:rPr>
                <w:lang w:val="tr-TR" w:eastAsia="tr-TR"/>
              </w:rPr>
              <w:t xml:space="preserve">                                              Sayı:40/2020</w:t>
            </w:r>
          </w:p>
          <w:p w:rsidR="00B26257" w:rsidRPr="008C4C4E" w:rsidRDefault="00B26257" w:rsidP="008C4C4E">
            <w:pPr>
              <w:widowControl w:val="0"/>
              <w:tabs>
                <w:tab w:val="left" w:pos="0"/>
                <w:tab w:val="left" w:pos="830"/>
              </w:tabs>
              <w:suppressAutoHyphens/>
              <w:jc w:val="both"/>
              <w:rPr>
                <w:lang w:val="tr-TR" w:eastAsia="tr-TR"/>
              </w:rPr>
            </w:pPr>
            <w:bookmarkStart w:id="0" w:name="_GoBack"/>
            <w:bookmarkEnd w:id="0"/>
          </w:p>
        </w:tc>
      </w:tr>
      <w:tr w:rsidR="008C4C4E" w:rsidRPr="008C4C4E" w:rsidTr="007468B3">
        <w:tc>
          <w:tcPr>
            <w:tcW w:w="2088" w:type="dxa"/>
          </w:tcPr>
          <w:p w:rsidR="008C4C4E" w:rsidRPr="008C4C4E" w:rsidRDefault="008C4C4E" w:rsidP="008C4C4E">
            <w:pPr>
              <w:jc w:val="both"/>
              <w:rPr>
                <w:lang w:val="tr-TR" w:eastAsia="tr-TR"/>
              </w:rPr>
            </w:pPr>
            <w:r w:rsidRPr="008C4C4E">
              <w:rPr>
                <w:lang w:val="tr-TR" w:eastAsia="tr-TR"/>
              </w:rPr>
              <w:t>Kısa İsim</w:t>
            </w:r>
          </w:p>
        </w:tc>
        <w:tc>
          <w:tcPr>
            <w:tcW w:w="7534" w:type="dxa"/>
            <w:gridSpan w:val="2"/>
          </w:tcPr>
          <w:p w:rsidR="008C4C4E" w:rsidRPr="008C4C4E" w:rsidRDefault="008C4C4E" w:rsidP="008C4C4E">
            <w:pPr>
              <w:jc w:val="both"/>
              <w:rPr>
                <w:color w:val="00000A"/>
                <w:spacing w:val="2"/>
                <w:lang w:val="tr-TR" w:eastAsia="tr-TR"/>
              </w:rPr>
            </w:pPr>
            <w:r w:rsidRPr="008C4C4E">
              <w:rPr>
                <w:color w:val="00000A"/>
                <w:spacing w:val="2"/>
                <w:lang w:val="tr-TR" w:eastAsia="tr-TR"/>
              </w:rPr>
              <w:t xml:space="preserve">1.Bu Yasa, Türkiye Cumhuriyeti Yükseköğretim Kurulu ile Kuzey Kıbrıs Türk Cumhuriyeti Milli Eğitim ve Kültür Bakanlığı Arasında Yükseköğretim Alanında İşbirliğine Yönelik Mutabakat Zaptı (Onay) Yasası olarak isimlendirilir. </w:t>
            </w:r>
          </w:p>
        </w:tc>
      </w:tr>
      <w:tr w:rsidR="008C4C4E" w:rsidRPr="008C4C4E" w:rsidTr="007468B3">
        <w:tc>
          <w:tcPr>
            <w:tcW w:w="2088" w:type="dxa"/>
          </w:tcPr>
          <w:p w:rsidR="008C4C4E" w:rsidRPr="008C4C4E" w:rsidRDefault="008C4C4E" w:rsidP="008C4C4E">
            <w:pPr>
              <w:jc w:val="both"/>
              <w:rPr>
                <w:lang w:val="tr-TR" w:eastAsia="tr-TR"/>
              </w:rPr>
            </w:pPr>
          </w:p>
        </w:tc>
        <w:tc>
          <w:tcPr>
            <w:tcW w:w="540" w:type="dxa"/>
          </w:tcPr>
          <w:p w:rsidR="008C4C4E" w:rsidRPr="008C4C4E" w:rsidRDefault="008C4C4E" w:rsidP="008C4C4E">
            <w:pPr>
              <w:jc w:val="both"/>
              <w:rPr>
                <w:lang w:val="tr-TR" w:eastAsia="tr-TR"/>
              </w:rPr>
            </w:pPr>
          </w:p>
        </w:tc>
        <w:tc>
          <w:tcPr>
            <w:tcW w:w="6994" w:type="dxa"/>
          </w:tcPr>
          <w:p w:rsidR="008C4C4E" w:rsidRPr="008C4C4E" w:rsidRDefault="008C4C4E" w:rsidP="008C4C4E">
            <w:pPr>
              <w:widowControl w:val="0"/>
              <w:tabs>
                <w:tab w:val="left" w:pos="0"/>
                <w:tab w:val="left" w:pos="830"/>
              </w:tabs>
              <w:suppressAutoHyphens/>
              <w:jc w:val="both"/>
              <w:rPr>
                <w:color w:val="00000A"/>
                <w:spacing w:val="2"/>
                <w:lang w:val="tr-TR" w:eastAsia="tr-TR"/>
              </w:rPr>
            </w:pPr>
          </w:p>
        </w:tc>
      </w:tr>
      <w:tr w:rsidR="008C4C4E" w:rsidRPr="008C4C4E" w:rsidTr="007468B3">
        <w:tc>
          <w:tcPr>
            <w:tcW w:w="2088" w:type="dxa"/>
          </w:tcPr>
          <w:p w:rsidR="008C4C4E" w:rsidRPr="008C4C4E" w:rsidRDefault="008C4C4E" w:rsidP="008C4C4E">
            <w:pPr>
              <w:jc w:val="both"/>
              <w:rPr>
                <w:lang w:val="tr-TR" w:eastAsia="tr-TR"/>
              </w:rPr>
            </w:pPr>
            <w:r w:rsidRPr="008C4C4E">
              <w:rPr>
                <w:lang w:val="tr-TR" w:eastAsia="tr-TR"/>
              </w:rPr>
              <w:t>Tefsir</w:t>
            </w:r>
          </w:p>
        </w:tc>
        <w:tc>
          <w:tcPr>
            <w:tcW w:w="7534" w:type="dxa"/>
            <w:gridSpan w:val="2"/>
            <w:vMerge w:val="restart"/>
          </w:tcPr>
          <w:p w:rsidR="008C4C4E" w:rsidRPr="008C4C4E" w:rsidRDefault="008C4C4E" w:rsidP="008C4C4E">
            <w:pPr>
              <w:jc w:val="both"/>
              <w:rPr>
                <w:color w:val="00000A"/>
                <w:spacing w:val="2"/>
                <w:lang w:val="tr-TR" w:eastAsia="tr-TR"/>
              </w:rPr>
            </w:pPr>
            <w:r w:rsidRPr="008C4C4E">
              <w:rPr>
                <w:lang w:val="tr-TR" w:eastAsia="tr-TR"/>
              </w:rPr>
              <w:t xml:space="preserve">2. </w:t>
            </w:r>
            <w:r w:rsidRPr="008C4C4E">
              <w:rPr>
                <w:color w:val="00000A"/>
                <w:spacing w:val="2"/>
                <w:lang w:val="tr-TR" w:eastAsia="tr-TR"/>
              </w:rPr>
              <w:t>Bu Yasa amaçları bakımından metin başka türlü gerektirmedikçe:</w:t>
            </w:r>
          </w:p>
          <w:p w:rsidR="008C4C4E" w:rsidRPr="008C4C4E" w:rsidRDefault="008C4C4E" w:rsidP="008C4C4E">
            <w:pPr>
              <w:jc w:val="both"/>
              <w:rPr>
                <w:lang w:val="tr-TR" w:eastAsia="tr-TR"/>
              </w:rPr>
            </w:pPr>
            <w:r w:rsidRPr="008C4C4E">
              <w:rPr>
                <w:color w:val="00000A"/>
                <w:spacing w:val="2"/>
                <w:lang w:val="tr-TR" w:eastAsia="tr-TR"/>
              </w:rPr>
              <w:t>“Mutabakat Zaptı”, Bu Yasa ile onaylanması uygun bulunan Türkiye Cumhuriyeti Yükseköğretim Kurulu ile Kuzey Kıbrıs Türk Cumhuriyeti Milli Eğitim ve Kültür Bakanlığı Arasında Yükseköğretim Alanında İşbirliğine Yönelik Mutabakat Zaptını anlatır.</w:t>
            </w:r>
          </w:p>
          <w:p w:rsidR="008C4C4E" w:rsidRPr="008C4C4E" w:rsidRDefault="008C4C4E" w:rsidP="008C4C4E">
            <w:pPr>
              <w:widowControl w:val="0"/>
              <w:tabs>
                <w:tab w:val="left" w:pos="0"/>
                <w:tab w:val="left" w:pos="830"/>
              </w:tabs>
              <w:suppressAutoHyphens/>
              <w:jc w:val="both"/>
              <w:rPr>
                <w:color w:val="00000A"/>
                <w:spacing w:val="2"/>
                <w:lang w:val="tr-TR" w:eastAsia="tr-TR"/>
              </w:rPr>
            </w:pPr>
            <w:r w:rsidRPr="008C4C4E">
              <w:rPr>
                <w:color w:val="00000A"/>
                <w:spacing w:val="2"/>
                <w:lang w:val="tr-TR" w:eastAsia="tr-TR"/>
              </w:rPr>
              <w:t>“Bakanlar Kurulu”,  Kuzey Kıbrıs Türk Cumhuriyeti Bakanlar Kurulunu anlatır.</w:t>
            </w:r>
          </w:p>
        </w:tc>
      </w:tr>
      <w:tr w:rsidR="008C4C4E" w:rsidRPr="008C4C4E" w:rsidTr="007468B3">
        <w:tc>
          <w:tcPr>
            <w:tcW w:w="2088" w:type="dxa"/>
          </w:tcPr>
          <w:p w:rsidR="008C4C4E" w:rsidRPr="008C4C4E" w:rsidRDefault="008C4C4E" w:rsidP="008C4C4E">
            <w:pPr>
              <w:jc w:val="both"/>
              <w:rPr>
                <w:lang w:val="tr-TR" w:eastAsia="tr-TR"/>
              </w:rPr>
            </w:pPr>
          </w:p>
        </w:tc>
        <w:tc>
          <w:tcPr>
            <w:tcW w:w="7534" w:type="dxa"/>
            <w:gridSpan w:val="2"/>
            <w:vMerge/>
          </w:tcPr>
          <w:p w:rsidR="008C4C4E" w:rsidRPr="008C4C4E" w:rsidRDefault="008C4C4E" w:rsidP="008C4C4E">
            <w:pPr>
              <w:widowControl w:val="0"/>
              <w:tabs>
                <w:tab w:val="left" w:pos="0"/>
                <w:tab w:val="left" w:pos="830"/>
              </w:tabs>
              <w:suppressAutoHyphens/>
              <w:jc w:val="both"/>
              <w:rPr>
                <w:color w:val="00000A"/>
                <w:spacing w:val="2"/>
                <w:lang w:val="tr-TR" w:eastAsia="tr-TR"/>
              </w:rPr>
            </w:pPr>
          </w:p>
        </w:tc>
      </w:tr>
      <w:tr w:rsidR="008C4C4E" w:rsidRPr="008C4C4E" w:rsidTr="007468B3">
        <w:tc>
          <w:tcPr>
            <w:tcW w:w="2088" w:type="dxa"/>
          </w:tcPr>
          <w:p w:rsidR="008C4C4E" w:rsidRPr="008C4C4E" w:rsidRDefault="008C4C4E" w:rsidP="008C4C4E">
            <w:pPr>
              <w:jc w:val="both"/>
              <w:rPr>
                <w:lang w:val="tr-TR" w:eastAsia="tr-TR"/>
              </w:rPr>
            </w:pPr>
          </w:p>
        </w:tc>
        <w:tc>
          <w:tcPr>
            <w:tcW w:w="7534" w:type="dxa"/>
            <w:gridSpan w:val="2"/>
            <w:vMerge/>
          </w:tcPr>
          <w:p w:rsidR="008C4C4E" w:rsidRPr="008C4C4E" w:rsidRDefault="008C4C4E" w:rsidP="008C4C4E">
            <w:pPr>
              <w:widowControl w:val="0"/>
              <w:tabs>
                <w:tab w:val="left" w:pos="0"/>
                <w:tab w:val="left" w:pos="830"/>
              </w:tabs>
              <w:suppressAutoHyphens/>
              <w:jc w:val="both"/>
              <w:rPr>
                <w:color w:val="00000A"/>
                <w:spacing w:val="2"/>
                <w:lang w:val="tr-TR" w:eastAsia="tr-TR"/>
              </w:rPr>
            </w:pPr>
          </w:p>
        </w:tc>
      </w:tr>
      <w:tr w:rsidR="008C4C4E" w:rsidRPr="008C4C4E" w:rsidTr="007468B3">
        <w:tc>
          <w:tcPr>
            <w:tcW w:w="2088" w:type="dxa"/>
          </w:tcPr>
          <w:p w:rsidR="008C4C4E" w:rsidRPr="008C4C4E" w:rsidRDefault="008C4C4E" w:rsidP="008C4C4E">
            <w:pPr>
              <w:jc w:val="both"/>
              <w:rPr>
                <w:lang w:val="tr-TR" w:eastAsia="tr-TR"/>
              </w:rPr>
            </w:pPr>
          </w:p>
        </w:tc>
        <w:tc>
          <w:tcPr>
            <w:tcW w:w="7534" w:type="dxa"/>
            <w:gridSpan w:val="2"/>
            <w:vMerge/>
          </w:tcPr>
          <w:p w:rsidR="008C4C4E" w:rsidRPr="008C4C4E" w:rsidRDefault="008C4C4E" w:rsidP="008C4C4E">
            <w:pPr>
              <w:widowControl w:val="0"/>
              <w:tabs>
                <w:tab w:val="left" w:pos="0"/>
                <w:tab w:val="left" w:pos="830"/>
              </w:tabs>
              <w:suppressAutoHyphens/>
              <w:jc w:val="both"/>
              <w:rPr>
                <w:color w:val="00000A"/>
                <w:spacing w:val="2"/>
                <w:lang w:val="tr-TR" w:eastAsia="tr-TR"/>
              </w:rPr>
            </w:pPr>
          </w:p>
        </w:tc>
      </w:tr>
      <w:tr w:rsidR="008C4C4E" w:rsidRPr="008C4C4E" w:rsidTr="007468B3">
        <w:tc>
          <w:tcPr>
            <w:tcW w:w="2088" w:type="dxa"/>
          </w:tcPr>
          <w:p w:rsidR="008C4C4E" w:rsidRPr="008C4C4E" w:rsidRDefault="008C4C4E" w:rsidP="008C4C4E">
            <w:pPr>
              <w:jc w:val="both"/>
              <w:rPr>
                <w:lang w:val="tr-TR" w:eastAsia="tr-TR"/>
              </w:rPr>
            </w:pPr>
          </w:p>
        </w:tc>
        <w:tc>
          <w:tcPr>
            <w:tcW w:w="540" w:type="dxa"/>
          </w:tcPr>
          <w:p w:rsidR="008C4C4E" w:rsidRPr="008C4C4E" w:rsidRDefault="008C4C4E" w:rsidP="008C4C4E">
            <w:pPr>
              <w:jc w:val="both"/>
              <w:rPr>
                <w:lang w:val="tr-TR" w:eastAsia="tr-TR"/>
              </w:rPr>
            </w:pPr>
          </w:p>
        </w:tc>
        <w:tc>
          <w:tcPr>
            <w:tcW w:w="6994" w:type="dxa"/>
          </w:tcPr>
          <w:p w:rsidR="008C4C4E" w:rsidRPr="008C4C4E" w:rsidRDefault="008C4C4E" w:rsidP="008C4C4E">
            <w:pPr>
              <w:widowControl w:val="0"/>
              <w:tabs>
                <w:tab w:val="left" w:pos="0"/>
                <w:tab w:val="left" w:pos="830"/>
              </w:tabs>
              <w:suppressAutoHyphens/>
              <w:jc w:val="both"/>
              <w:rPr>
                <w:color w:val="00000A"/>
                <w:spacing w:val="2"/>
                <w:lang w:val="tr-TR" w:eastAsia="tr-TR"/>
              </w:rPr>
            </w:pPr>
          </w:p>
        </w:tc>
      </w:tr>
      <w:tr w:rsidR="008C4C4E" w:rsidRPr="008C4C4E" w:rsidTr="007468B3">
        <w:tc>
          <w:tcPr>
            <w:tcW w:w="2088" w:type="dxa"/>
          </w:tcPr>
          <w:p w:rsidR="008C4C4E" w:rsidRPr="008C4C4E" w:rsidRDefault="008C4C4E" w:rsidP="008C4C4E">
            <w:pPr>
              <w:jc w:val="both"/>
              <w:rPr>
                <w:lang w:val="tr-TR" w:eastAsia="tr-TR"/>
              </w:rPr>
            </w:pPr>
            <w:r w:rsidRPr="008C4C4E">
              <w:rPr>
                <w:lang w:val="tr-TR" w:eastAsia="tr-TR"/>
              </w:rPr>
              <w:t xml:space="preserve">Amaç </w:t>
            </w:r>
          </w:p>
        </w:tc>
        <w:tc>
          <w:tcPr>
            <w:tcW w:w="7534" w:type="dxa"/>
            <w:gridSpan w:val="2"/>
          </w:tcPr>
          <w:p w:rsidR="008C4C4E" w:rsidRPr="008C4C4E" w:rsidRDefault="008C4C4E" w:rsidP="008C4C4E">
            <w:pPr>
              <w:jc w:val="both"/>
              <w:rPr>
                <w:lang w:val="tr-TR" w:eastAsia="tr-TR"/>
              </w:rPr>
            </w:pPr>
            <w:r w:rsidRPr="008C4C4E">
              <w:rPr>
                <w:lang w:val="tr-TR" w:eastAsia="tr-TR"/>
              </w:rPr>
              <w:t xml:space="preserve">3. </w:t>
            </w:r>
            <w:r w:rsidRPr="008C4C4E">
              <w:rPr>
                <w:color w:val="00000A"/>
                <w:spacing w:val="2"/>
                <w:lang w:val="tr-TR" w:eastAsia="tr-TR"/>
              </w:rPr>
              <w:t>Bu Yasanın amacı, Türkiye Cumhuriyeti Yükseköğretim Kurulu ile Kuzey Kıbrıs Türk Cumhuriyeti Milli Eğitim ve Kültür Bakanlığı arasında, yükseköğretim alanındaki işbirliğinin geliştirilmesi, karşılıklı saygıyı artırmak ve ortak ilgi alanlarında işbirliğinin güçlendirilmesi amacıyla mutabık kalınan konuları saptamaktır.</w:t>
            </w:r>
          </w:p>
        </w:tc>
      </w:tr>
      <w:tr w:rsidR="008C4C4E" w:rsidRPr="008C4C4E" w:rsidTr="007468B3">
        <w:tc>
          <w:tcPr>
            <w:tcW w:w="2088" w:type="dxa"/>
          </w:tcPr>
          <w:p w:rsidR="008C4C4E" w:rsidRPr="008C4C4E" w:rsidRDefault="008C4C4E" w:rsidP="008C4C4E">
            <w:pPr>
              <w:jc w:val="both"/>
              <w:rPr>
                <w:lang w:val="tr-TR" w:eastAsia="tr-TR"/>
              </w:rPr>
            </w:pPr>
          </w:p>
        </w:tc>
        <w:tc>
          <w:tcPr>
            <w:tcW w:w="540" w:type="dxa"/>
          </w:tcPr>
          <w:p w:rsidR="008C4C4E" w:rsidRPr="008C4C4E" w:rsidRDefault="008C4C4E" w:rsidP="008C4C4E">
            <w:pPr>
              <w:jc w:val="both"/>
              <w:rPr>
                <w:lang w:val="tr-TR" w:eastAsia="tr-TR"/>
              </w:rPr>
            </w:pPr>
          </w:p>
        </w:tc>
        <w:tc>
          <w:tcPr>
            <w:tcW w:w="6994" w:type="dxa"/>
          </w:tcPr>
          <w:p w:rsidR="008C4C4E" w:rsidRPr="008C4C4E" w:rsidRDefault="008C4C4E" w:rsidP="008C4C4E">
            <w:pPr>
              <w:widowControl w:val="0"/>
              <w:tabs>
                <w:tab w:val="left" w:pos="0"/>
                <w:tab w:val="left" w:pos="830"/>
              </w:tabs>
              <w:suppressAutoHyphens/>
              <w:jc w:val="both"/>
              <w:rPr>
                <w:color w:val="00000A"/>
                <w:spacing w:val="2"/>
                <w:lang w:val="tr-TR" w:eastAsia="tr-TR"/>
              </w:rPr>
            </w:pPr>
          </w:p>
        </w:tc>
      </w:tr>
      <w:tr w:rsidR="008C4C4E" w:rsidRPr="008C4C4E" w:rsidTr="007468B3">
        <w:trPr>
          <w:trHeight w:val="402"/>
        </w:trPr>
        <w:tc>
          <w:tcPr>
            <w:tcW w:w="2088" w:type="dxa"/>
          </w:tcPr>
          <w:p w:rsidR="008C4C4E" w:rsidRPr="008C4C4E" w:rsidRDefault="008C4C4E" w:rsidP="008C4C4E">
            <w:pPr>
              <w:jc w:val="both"/>
              <w:rPr>
                <w:lang w:val="tr-TR" w:eastAsia="tr-TR"/>
              </w:rPr>
            </w:pPr>
            <w:r w:rsidRPr="008C4C4E">
              <w:rPr>
                <w:lang w:val="tr-TR" w:eastAsia="tr-TR"/>
              </w:rPr>
              <w:t>Mutabakat Zaptının Onaylanmasının</w:t>
            </w:r>
          </w:p>
          <w:p w:rsidR="008C4C4E" w:rsidRPr="008C4C4E" w:rsidRDefault="008C4C4E" w:rsidP="008C4C4E">
            <w:pPr>
              <w:jc w:val="both"/>
              <w:rPr>
                <w:lang w:val="tr-TR" w:eastAsia="tr-TR"/>
              </w:rPr>
            </w:pPr>
            <w:r w:rsidRPr="008C4C4E">
              <w:rPr>
                <w:lang w:val="tr-TR" w:eastAsia="tr-TR"/>
              </w:rPr>
              <w:t xml:space="preserve">Uygun </w:t>
            </w:r>
          </w:p>
          <w:p w:rsidR="008C4C4E" w:rsidRPr="008C4C4E" w:rsidRDefault="008C4C4E" w:rsidP="008C4C4E">
            <w:pPr>
              <w:jc w:val="both"/>
              <w:rPr>
                <w:lang w:val="tr-TR" w:eastAsia="tr-TR"/>
              </w:rPr>
            </w:pPr>
            <w:r w:rsidRPr="008C4C4E">
              <w:rPr>
                <w:lang w:val="tr-TR" w:eastAsia="tr-TR"/>
              </w:rPr>
              <w:t>Bulunması CETVEL</w:t>
            </w:r>
          </w:p>
        </w:tc>
        <w:tc>
          <w:tcPr>
            <w:tcW w:w="7534" w:type="dxa"/>
            <w:gridSpan w:val="2"/>
          </w:tcPr>
          <w:p w:rsidR="008C4C4E" w:rsidRPr="008C4C4E" w:rsidRDefault="008C4C4E" w:rsidP="008C4C4E">
            <w:pPr>
              <w:jc w:val="both"/>
              <w:rPr>
                <w:color w:val="00000A"/>
                <w:spacing w:val="2"/>
                <w:lang w:val="tr-TR" w:eastAsia="tr-TR"/>
              </w:rPr>
            </w:pPr>
            <w:r w:rsidRPr="008C4C4E">
              <w:rPr>
                <w:lang w:val="tr-TR" w:eastAsia="tr-TR"/>
              </w:rPr>
              <w:t xml:space="preserve">4. </w:t>
            </w:r>
            <w:r w:rsidRPr="008C4C4E">
              <w:rPr>
                <w:color w:val="00000A"/>
                <w:spacing w:val="2"/>
                <w:lang w:val="tr-TR" w:eastAsia="tr-TR"/>
              </w:rPr>
              <w:t>Kuzey Kıbrıs Türk Cumhuriyeti Cumhuriyet Meclisi, Türkiye Cumhuriyeti Yükseköğretim Kurulu ile Kuzey Kıbrıs Türk Cumhuriyeti Milli Eğitim ve Kültür Bakanlığı arasında, 19 Temmuz 2019 tarihinde Türkiye Cumhuriyeti’nde imzalanan ve bu Yasaya ekli Cetvel’de metni yazılı Türkiye Cumhuriyeti Yükseköğretim Kurulu ile Kuzey Kıbrıs Türk Cumhuriyeti Milli Eğitim ve Kültür Bakanlığı Arasında Yükseköğretim Alanında İşbirliğine Yönelik Mutabakat Zaptını uygun bulur.</w:t>
            </w:r>
          </w:p>
        </w:tc>
      </w:tr>
      <w:tr w:rsidR="008C4C4E" w:rsidRPr="008C4C4E" w:rsidTr="007468B3">
        <w:tc>
          <w:tcPr>
            <w:tcW w:w="2088" w:type="dxa"/>
          </w:tcPr>
          <w:p w:rsidR="008C4C4E" w:rsidRPr="008C4C4E" w:rsidRDefault="008C4C4E" w:rsidP="008C4C4E">
            <w:pPr>
              <w:jc w:val="both"/>
              <w:rPr>
                <w:lang w:val="tr-TR" w:eastAsia="tr-TR"/>
              </w:rPr>
            </w:pPr>
          </w:p>
        </w:tc>
        <w:tc>
          <w:tcPr>
            <w:tcW w:w="7534" w:type="dxa"/>
            <w:gridSpan w:val="2"/>
          </w:tcPr>
          <w:p w:rsidR="008C4C4E" w:rsidRPr="008C4C4E" w:rsidRDefault="008C4C4E" w:rsidP="008C4C4E">
            <w:pPr>
              <w:jc w:val="both"/>
              <w:rPr>
                <w:lang w:val="tr-TR" w:eastAsia="tr-TR"/>
              </w:rPr>
            </w:pPr>
          </w:p>
        </w:tc>
      </w:tr>
      <w:tr w:rsidR="008C4C4E" w:rsidRPr="008C4C4E" w:rsidTr="007468B3">
        <w:tc>
          <w:tcPr>
            <w:tcW w:w="2088" w:type="dxa"/>
          </w:tcPr>
          <w:p w:rsidR="008C4C4E" w:rsidRPr="008C4C4E" w:rsidRDefault="008C4C4E" w:rsidP="008C4C4E">
            <w:pPr>
              <w:jc w:val="both"/>
              <w:rPr>
                <w:lang w:val="tr-TR" w:eastAsia="tr-TR"/>
              </w:rPr>
            </w:pPr>
            <w:r w:rsidRPr="008C4C4E">
              <w:rPr>
                <w:lang w:val="tr-TR" w:eastAsia="tr-TR"/>
              </w:rPr>
              <w:t>Yürütme Yetkisi</w:t>
            </w:r>
          </w:p>
        </w:tc>
        <w:tc>
          <w:tcPr>
            <w:tcW w:w="7534" w:type="dxa"/>
            <w:gridSpan w:val="2"/>
          </w:tcPr>
          <w:p w:rsidR="008C4C4E" w:rsidRPr="008C4C4E" w:rsidRDefault="008C4C4E" w:rsidP="008C4C4E">
            <w:pPr>
              <w:jc w:val="both"/>
              <w:rPr>
                <w:color w:val="00000A"/>
                <w:spacing w:val="2"/>
                <w:lang w:val="tr-TR" w:eastAsia="tr-TR"/>
              </w:rPr>
            </w:pPr>
            <w:r w:rsidRPr="008C4C4E">
              <w:rPr>
                <w:lang w:val="tr-TR" w:eastAsia="tr-TR"/>
              </w:rPr>
              <w:t xml:space="preserve">5. </w:t>
            </w:r>
            <w:r w:rsidRPr="008C4C4E">
              <w:rPr>
                <w:color w:val="00000A"/>
                <w:spacing w:val="2"/>
                <w:lang w:val="tr-TR" w:eastAsia="tr-TR"/>
              </w:rPr>
              <w:t>Bu Yasa, Bakanlar Kurulu adına Milli Eğitim ve Kültür Bakanlığı tarafından yürütülür.</w:t>
            </w:r>
          </w:p>
        </w:tc>
      </w:tr>
      <w:tr w:rsidR="008C4C4E" w:rsidRPr="008C4C4E" w:rsidTr="007468B3">
        <w:tc>
          <w:tcPr>
            <w:tcW w:w="2088" w:type="dxa"/>
          </w:tcPr>
          <w:p w:rsidR="008C4C4E" w:rsidRPr="008C4C4E" w:rsidRDefault="008C4C4E" w:rsidP="008C4C4E">
            <w:pPr>
              <w:jc w:val="both"/>
              <w:rPr>
                <w:lang w:val="tr-TR" w:eastAsia="tr-TR"/>
              </w:rPr>
            </w:pPr>
          </w:p>
        </w:tc>
        <w:tc>
          <w:tcPr>
            <w:tcW w:w="7534" w:type="dxa"/>
            <w:gridSpan w:val="2"/>
          </w:tcPr>
          <w:p w:rsidR="008C4C4E" w:rsidRPr="008C4C4E" w:rsidRDefault="008C4C4E" w:rsidP="008C4C4E">
            <w:pPr>
              <w:jc w:val="both"/>
              <w:rPr>
                <w:lang w:val="tr-TR" w:eastAsia="tr-TR"/>
              </w:rPr>
            </w:pPr>
          </w:p>
        </w:tc>
      </w:tr>
      <w:tr w:rsidR="008C4C4E" w:rsidRPr="008C4C4E" w:rsidTr="007468B3">
        <w:tc>
          <w:tcPr>
            <w:tcW w:w="2088" w:type="dxa"/>
          </w:tcPr>
          <w:p w:rsidR="008C4C4E" w:rsidRPr="008C4C4E" w:rsidRDefault="008C4C4E" w:rsidP="008C4C4E">
            <w:pPr>
              <w:jc w:val="both"/>
              <w:rPr>
                <w:lang w:val="tr-TR" w:eastAsia="tr-TR"/>
              </w:rPr>
            </w:pPr>
            <w:r w:rsidRPr="008C4C4E">
              <w:rPr>
                <w:lang w:val="tr-TR" w:eastAsia="tr-TR"/>
              </w:rPr>
              <w:t>Yürürlüğe Giriş</w:t>
            </w:r>
          </w:p>
        </w:tc>
        <w:tc>
          <w:tcPr>
            <w:tcW w:w="7534" w:type="dxa"/>
            <w:gridSpan w:val="2"/>
          </w:tcPr>
          <w:p w:rsidR="008C4C4E" w:rsidRPr="008C4C4E" w:rsidRDefault="008C4C4E" w:rsidP="008C4C4E">
            <w:pPr>
              <w:jc w:val="both"/>
              <w:rPr>
                <w:lang w:val="tr-TR" w:eastAsia="tr-TR"/>
              </w:rPr>
            </w:pPr>
            <w:r w:rsidRPr="008C4C4E">
              <w:rPr>
                <w:lang w:val="tr-TR" w:eastAsia="tr-TR"/>
              </w:rPr>
              <w:t xml:space="preserve">6. </w:t>
            </w:r>
            <w:r w:rsidRPr="008C4C4E">
              <w:rPr>
                <w:color w:val="00000A"/>
                <w:spacing w:val="2"/>
                <w:lang w:val="tr-TR" w:eastAsia="tr-TR"/>
              </w:rPr>
              <w:t>Bu Yasa, Resmi Gazete’de yayımlandığı tarihten, mutabakat zaptı ise imzalandığı tarihten başlayarak yürürlüğe girer.</w:t>
            </w:r>
          </w:p>
        </w:tc>
      </w:tr>
    </w:tbl>
    <w:p w:rsidR="008C4C4E" w:rsidRPr="008C4C4E" w:rsidRDefault="008C4C4E" w:rsidP="008C4C4E">
      <w:pPr>
        <w:rPr>
          <w:lang w:val="tr-TR" w:eastAsia="tr-TR"/>
        </w:rPr>
      </w:pPr>
    </w:p>
    <w:p w:rsidR="008C4C4E" w:rsidRPr="008C4C4E" w:rsidRDefault="008C4C4E" w:rsidP="008C4C4E">
      <w:pPr>
        <w:rPr>
          <w:lang w:val="tr-TR" w:eastAsia="tr-TR"/>
        </w:rPr>
      </w:pPr>
    </w:p>
    <w:p w:rsidR="00805172" w:rsidRDefault="00805172"/>
    <w:sectPr w:rsidR="0080517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C4E"/>
    <w:rsid w:val="001A0EA1"/>
    <w:rsid w:val="00252942"/>
    <w:rsid w:val="007468B3"/>
    <w:rsid w:val="00805172"/>
    <w:rsid w:val="008C4C4E"/>
    <w:rsid w:val="00B2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C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Gündüz</dc:creator>
  <cp:lastModifiedBy>Nedret Beyaz</cp:lastModifiedBy>
  <cp:revision>3</cp:revision>
  <dcterms:created xsi:type="dcterms:W3CDTF">2020-08-25T08:09:00Z</dcterms:created>
  <dcterms:modified xsi:type="dcterms:W3CDTF">2020-08-25T08:49:00Z</dcterms:modified>
</cp:coreProperties>
</file>