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pPr w:leftFromText="141" w:rightFromText="141" w:vertAnchor="page" w:horzAnchor="margin" w:tblpY="1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D42CB9" w:rsidRPr="009A3C10" w:rsidTr="001A387E">
        <w:tc>
          <w:tcPr>
            <w:tcW w:w="9288" w:type="dxa"/>
          </w:tcPr>
          <w:p w:rsidR="00D42CB9" w:rsidRPr="009A3C10" w:rsidRDefault="00D42CB9" w:rsidP="00C234DF">
            <w:pPr>
              <w:jc w:val="center"/>
              <w:rPr>
                <w:rFonts w:ascii="Times New Roman" w:eastAsia="Calibri" w:hAnsi="Times New Roman"/>
                <w:color w:val="auto"/>
              </w:rPr>
            </w:pPr>
          </w:p>
        </w:tc>
      </w:tr>
      <w:tr w:rsidR="00C234DF" w:rsidRPr="009A3C10" w:rsidTr="001A387E">
        <w:tc>
          <w:tcPr>
            <w:tcW w:w="9288" w:type="dxa"/>
          </w:tcPr>
          <w:p w:rsidR="00C234DF" w:rsidRDefault="00C234DF" w:rsidP="00C234DF">
            <w:pPr>
              <w:jc w:val="center"/>
              <w:rPr>
                <w:rFonts w:ascii="Times New Roman" w:eastAsia="Calibri" w:hAnsi="Times New Roman"/>
                <w:color w:val="auto"/>
              </w:rPr>
            </w:pPr>
          </w:p>
          <w:p w:rsidR="00C234DF" w:rsidRDefault="00C234DF" w:rsidP="00C234DF">
            <w:pPr>
              <w:jc w:val="both"/>
              <w:rPr>
                <w:rFonts w:ascii="Times New Roman" w:eastAsia="Calibri" w:hAnsi="Times New Roman"/>
                <w:color w:val="auto"/>
              </w:rPr>
            </w:pPr>
            <w:r w:rsidRPr="00C234DF">
              <w:rPr>
                <w:rFonts w:ascii="Times New Roman" w:eastAsia="Calibri" w:hAnsi="Times New Roman"/>
                <w:b/>
                <w:bCs/>
                <w:color w:val="auto"/>
              </w:rPr>
              <w:t>Kuzey Kıbrıs Türk Cumhu</w:t>
            </w:r>
            <w:r w:rsidR="009945F9">
              <w:rPr>
                <w:rFonts w:ascii="Times New Roman" w:eastAsia="Calibri" w:hAnsi="Times New Roman"/>
                <w:b/>
                <w:bCs/>
                <w:color w:val="auto"/>
              </w:rPr>
              <w:t xml:space="preserve">riyeti Cumhuriyet Meclisi’nin </w:t>
            </w:r>
            <w:r w:rsidR="003B3247">
              <w:rPr>
                <w:rFonts w:ascii="Times New Roman" w:eastAsia="Calibri" w:hAnsi="Times New Roman"/>
                <w:b/>
                <w:bCs/>
                <w:color w:val="auto"/>
              </w:rPr>
              <w:t>17 Eylül</w:t>
            </w:r>
            <w:r w:rsidRPr="00C234DF">
              <w:rPr>
                <w:rFonts w:ascii="Times New Roman" w:eastAsia="Calibri" w:hAnsi="Times New Roman"/>
                <w:b/>
                <w:bCs/>
                <w:color w:val="auto"/>
              </w:rPr>
              <w:t xml:space="preserve"> 20</w:t>
            </w:r>
            <w:r w:rsidR="009945F9">
              <w:rPr>
                <w:rFonts w:ascii="Times New Roman" w:eastAsia="Calibri" w:hAnsi="Times New Roman"/>
                <w:b/>
                <w:bCs/>
                <w:color w:val="auto"/>
              </w:rPr>
              <w:t>20</w:t>
            </w:r>
            <w:r w:rsidRPr="00C234DF">
              <w:rPr>
                <w:rFonts w:ascii="Times New Roman" w:eastAsia="Calibri" w:hAnsi="Times New Roman"/>
                <w:b/>
                <w:bCs/>
                <w:color w:val="auto"/>
              </w:rPr>
              <w:t xml:space="preserve"> tarihli </w:t>
            </w:r>
            <w:r w:rsidR="003B3247">
              <w:rPr>
                <w:rFonts w:ascii="Times New Roman" w:eastAsia="Calibri" w:hAnsi="Times New Roman"/>
                <w:b/>
                <w:bCs/>
                <w:color w:val="auto"/>
              </w:rPr>
              <w:t>Dokuzuncu</w:t>
            </w:r>
            <w:r w:rsidR="009945F9">
              <w:rPr>
                <w:rFonts w:ascii="Times New Roman" w:eastAsia="Calibri" w:hAnsi="Times New Roman"/>
                <w:b/>
                <w:bCs/>
                <w:color w:val="auto"/>
              </w:rPr>
              <w:t xml:space="preserve"> Olağanüstü </w:t>
            </w:r>
            <w:r w:rsidRPr="00C234DF">
              <w:rPr>
                <w:rFonts w:ascii="Times New Roman" w:eastAsia="Calibri" w:hAnsi="Times New Roman"/>
                <w:b/>
                <w:bCs/>
                <w:color w:val="auto"/>
              </w:rPr>
              <w:t>Birleşiminde Oybirliğiyle kabul olunan “</w:t>
            </w:r>
            <w:r w:rsidR="003B3247">
              <w:rPr>
                <w:rFonts w:ascii="Times New Roman" w:eastAsia="Calibri" w:hAnsi="Times New Roman"/>
                <w:b/>
                <w:bCs/>
                <w:color w:val="auto"/>
              </w:rPr>
              <w:t>Bulaşıcı Hastalıklar (Değişiklik)</w:t>
            </w:r>
            <w:r w:rsidRPr="00C234DF">
              <w:rPr>
                <w:rFonts w:ascii="Times New Roman" w:eastAsia="Calibri" w:hAnsi="Times New Roman"/>
                <w:b/>
                <w:bCs/>
                <w:color w:val="auto"/>
              </w:rPr>
              <w:t xml:space="preserve">Yasası” Anayasanın 94’üncü maddesinin (1)’inci fıkrası gereğince Kuzey Kıbrıs Türk Cumhuriyeti Cumhurbaşkanı tarafından Resmi </w:t>
            </w:r>
            <w:proofErr w:type="spellStart"/>
            <w:r w:rsidRPr="00C234DF">
              <w:rPr>
                <w:rFonts w:ascii="Times New Roman" w:eastAsia="Calibri" w:hAnsi="Times New Roman"/>
                <w:b/>
                <w:bCs/>
                <w:color w:val="auto"/>
              </w:rPr>
              <w:t>Gazete’de</w:t>
            </w:r>
            <w:proofErr w:type="spellEnd"/>
            <w:r w:rsidRPr="00C234DF">
              <w:rPr>
                <w:rFonts w:ascii="Times New Roman" w:eastAsia="Calibri" w:hAnsi="Times New Roman"/>
                <w:b/>
                <w:bCs/>
                <w:color w:val="auto"/>
              </w:rPr>
              <w:t xml:space="preserve"> yayımlanmak suretiyle ilan olunur.</w:t>
            </w:r>
          </w:p>
          <w:p w:rsidR="00C234DF" w:rsidRDefault="00C234DF" w:rsidP="00C234DF">
            <w:pPr>
              <w:jc w:val="both"/>
              <w:rPr>
                <w:rFonts w:ascii="Times New Roman" w:eastAsia="Calibri" w:hAnsi="Times New Roman"/>
                <w:color w:val="auto"/>
              </w:rPr>
            </w:pPr>
          </w:p>
          <w:p w:rsidR="00C234DF" w:rsidRDefault="00C234DF" w:rsidP="00C234DF">
            <w:pPr>
              <w:jc w:val="center"/>
              <w:rPr>
                <w:rFonts w:ascii="Times New Roman" w:eastAsia="Calibri" w:hAnsi="Times New Roman"/>
                <w:color w:val="auto"/>
              </w:rPr>
            </w:pPr>
          </w:p>
          <w:p w:rsidR="00C234DF" w:rsidRDefault="00C234DF" w:rsidP="00C234DF">
            <w:pPr>
              <w:jc w:val="center"/>
              <w:rPr>
                <w:rFonts w:ascii="Times New Roman" w:eastAsia="Calibri" w:hAnsi="Times New Roman"/>
                <w:color w:val="auto"/>
              </w:rPr>
            </w:pPr>
          </w:p>
          <w:p w:rsidR="00C234DF" w:rsidRDefault="00C234DF" w:rsidP="00C234DF">
            <w:pPr>
              <w:jc w:val="center"/>
              <w:rPr>
                <w:rFonts w:ascii="Times New Roman" w:eastAsia="Calibri" w:hAnsi="Times New Roman"/>
                <w:color w:val="auto"/>
              </w:rPr>
            </w:pPr>
          </w:p>
          <w:p w:rsidR="00C234DF" w:rsidRPr="00C509C5" w:rsidRDefault="007D0DE4" w:rsidP="00C234DF">
            <w:pPr>
              <w:jc w:val="center"/>
              <w:rPr>
                <w:rFonts w:ascii="Times New Roman" w:eastAsia="Calibri" w:hAnsi="Times New Roman"/>
                <w:b/>
                <w:color w:val="auto"/>
              </w:rPr>
            </w:pPr>
            <w:r>
              <w:rPr>
                <w:rFonts w:ascii="Times New Roman" w:eastAsia="Calibri" w:hAnsi="Times New Roman"/>
                <w:b/>
                <w:color w:val="auto"/>
              </w:rPr>
              <w:t>53</w:t>
            </w:r>
            <w:r w:rsidR="00C234DF" w:rsidRPr="00C509C5">
              <w:rPr>
                <w:rFonts w:ascii="Times New Roman" w:eastAsia="Calibri" w:hAnsi="Times New Roman"/>
                <w:b/>
                <w:color w:val="auto"/>
              </w:rPr>
              <w:t>/20</w:t>
            </w:r>
            <w:r w:rsidR="009945F9">
              <w:rPr>
                <w:rFonts w:ascii="Times New Roman" w:eastAsia="Calibri" w:hAnsi="Times New Roman"/>
                <w:b/>
                <w:color w:val="auto"/>
              </w:rPr>
              <w:t>20</w:t>
            </w:r>
          </w:p>
          <w:p w:rsidR="00C234DF" w:rsidRDefault="00C234DF" w:rsidP="00C234DF">
            <w:pPr>
              <w:jc w:val="center"/>
              <w:rPr>
                <w:rFonts w:ascii="Times New Roman" w:eastAsia="Calibri" w:hAnsi="Times New Roman"/>
                <w:color w:val="auto"/>
              </w:rPr>
            </w:pPr>
          </w:p>
          <w:p w:rsidR="00C234DF" w:rsidRDefault="00C234DF" w:rsidP="00C234DF">
            <w:pPr>
              <w:jc w:val="center"/>
              <w:rPr>
                <w:rFonts w:ascii="Times New Roman" w:eastAsia="Calibri" w:hAnsi="Times New Roman"/>
                <w:color w:val="auto"/>
              </w:rPr>
            </w:pPr>
          </w:p>
          <w:p w:rsidR="00C234DF" w:rsidRPr="009A3C10" w:rsidRDefault="00C234DF" w:rsidP="00C234DF">
            <w:pPr>
              <w:jc w:val="center"/>
              <w:rPr>
                <w:rFonts w:ascii="Times New Roman" w:eastAsia="Calibri" w:hAnsi="Times New Roman"/>
                <w:color w:val="auto"/>
              </w:rPr>
            </w:pPr>
          </w:p>
        </w:tc>
      </w:tr>
    </w:tbl>
    <w:tbl>
      <w:tblPr>
        <w:tblW w:w="9855" w:type="dxa"/>
        <w:tblLayout w:type="fixed"/>
        <w:tblLook w:val="04A0" w:firstRow="1" w:lastRow="0" w:firstColumn="1" w:lastColumn="0" w:noHBand="0" w:noVBand="1"/>
      </w:tblPr>
      <w:tblGrid>
        <w:gridCol w:w="1669"/>
        <w:gridCol w:w="283"/>
        <w:gridCol w:w="709"/>
        <w:gridCol w:w="567"/>
        <w:gridCol w:w="425"/>
        <w:gridCol w:w="567"/>
        <w:gridCol w:w="567"/>
        <w:gridCol w:w="709"/>
        <w:gridCol w:w="4359"/>
      </w:tblGrid>
      <w:tr w:rsidR="00887AAD" w:rsidRPr="00887AAD" w:rsidTr="00887AAD">
        <w:tc>
          <w:tcPr>
            <w:tcW w:w="9855" w:type="dxa"/>
            <w:gridSpan w:val="9"/>
          </w:tcPr>
          <w:p w:rsidR="00887AAD" w:rsidRPr="00887AAD" w:rsidRDefault="00887AAD" w:rsidP="00887AAD">
            <w:pPr>
              <w:widowControl/>
              <w:jc w:val="center"/>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BULAŞICI HASTALIKLAR (DEĞİŞİKLİK) YASASI</w:t>
            </w:r>
          </w:p>
          <w:p w:rsidR="00887AAD" w:rsidRPr="00887AAD" w:rsidRDefault="00887AAD" w:rsidP="00887AAD">
            <w:pPr>
              <w:widowControl/>
              <w:jc w:val="center"/>
              <w:rPr>
                <w:rFonts w:ascii="Times New Roman" w:eastAsia="Times New Roman" w:hAnsi="Times New Roman" w:cs="Times New Roman"/>
                <w:color w:val="auto"/>
                <w:lang w:eastAsia="en-US" w:bidi="ar-SA"/>
              </w:rPr>
            </w:pPr>
          </w:p>
        </w:tc>
      </w:tr>
      <w:tr w:rsidR="00887AAD" w:rsidRPr="00887AAD" w:rsidTr="00887AAD">
        <w:tc>
          <w:tcPr>
            <w:tcW w:w="1669" w:type="dxa"/>
          </w:tcPr>
          <w:p w:rsidR="00887AAD" w:rsidRPr="00887AAD" w:rsidRDefault="00887AAD" w:rsidP="00887AAD">
            <w:pPr>
              <w:widowControl/>
              <w:jc w:val="center"/>
              <w:rPr>
                <w:rFonts w:ascii="Times New Roman" w:eastAsia="Times New Roman" w:hAnsi="Times New Roman" w:cs="Times New Roman"/>
                <w:color w:val="auto"/>
                <w:lang w:eastAsia="en-US" w:bidi="ar-SA"/>
              </w:rPr>
            </w:pPr>
          </w:p>
        </w:tc>
        <w:tc>
          <w:tcPr>
            <w:tcW w:w="8186" w:type="dxa"/>
            <w:gridSpan w:val="8"/>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ab/>
              <w:t>Kuzey Kıbrıs Türk Cumhuriyeti Cumhuriyet Meclisi aşağıdaki Yasayı yapar:</w:t>
            </w:r>
          </w:p>
        </w:tc>
      </w:tr>
      <w:tr w:rsidR="00887AAD" w:rsidRPr="00887AAD" w:rsidTr="00887AAD">
        <w:tc>
          <w:tcPr>
            <w:tcW w:w="9855" w:type="dxa"/>
            <w:gridSpan w:val="9"/>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 xml:space="preserve">  </w:t>
            </w:r>
          </w:p>
        </w:tc>
      </w:tr>
      <w:tr w:rsidR="00887AAD" w:rsidRPr="00887AAD" w:rsidTr="00887AAD">
        <w:trPr>
          <w:trHeight w:val="479"/>
        </w:trPr>
        <w:tc>
          <w:tcPr>
            <w:tcW w:w="1669" w:type="dxa"/>
            <w:hideMark/>
          </w:tcPr>
          <w:p w:rsidR="00887AAD" w:rsidRPr="00887AAD" w:rsidRDefault="00887AAD" w:rsidP="00887AAD">
            <w:pPr>
              <w:widowControl/>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Kısa İsim</w:t>
            </w:r>
          </w:p>
          <w:p w:rsidR="00887AAD" w:rsidRPr="00887AAD" w:rsidRDefault="00887AAD" w:rsidP="00887AAD">
            <w:pPr>
              <w:widowControl/>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45/2018</w:t>
            </w:r>
          </w:p>
        </w:tc>
        <w:tc>
          <w:tcPr>
            <w:tcW w:w="8186" w:type="dxa"/>
            <w:gridSpan w:val="8"/>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1. Bu Yasa, Bulaşıcı Hastalıklar (Değişiklik) Yasası olarak isimlendirilir ve aşağıda “Esas Yasa” olarak anılan Bulaşıcı Hastalıklar Yasası ile birlikte okunur.</w:t>
            </w:r>
          </w:p>
        </w:tc>
      </w:tr>
      <w:tr w:rsidR="00887AAD" w:rsidRPr="00887AAD" w:rsidTr="00887AAD">
        <w:tc>
          <w:tcPr>
            <w:tcW w:w="1669" w:type="dxa"/>
          </w:tcPr>
          <w:p w:rsidR="00887AAD" w:rsidRPr="00887AAD" w:rsidRDefault="00887AAD" w:rsidP="00887AAD">
            <w:pPr>
              <w:widowControl/>
              <w:jc w:val="center"/>
              <w:rPr>
                <w:rFonts w:ascii="Times New Roman" w:eastAsia="Times New Roman" w:hAnsi="Times New Roman" w:cs="Times New Roman"/>
                <w:color w:val="auto"/>
                <w:lang w:eastAsia="en-US" w:bidi="ar-SA"/>
              </w:rPr>
            </w:pPr>
          </w:p>
        </w:tc>
        <w:tc>
          <w:tcPr>
            <w:tcW w:w="8186" w:type="dxa"/>
            <w:gridSpan w:val="8"/>
          </w:tcPr>
          <w:p w:rsidR="00887AAD" w:rsidRPr="00887AAD" w:rsidRDefault="00887AAD" w:rsidP="00887AAD">
            <w:pPr>
              <w:widowControl/>
              <w:jc w:val="both"/>
              <w:rPr>
                <w:rFonts w:ascii="Times New Roman" w:eastAsia="Times New Roman" w:hAnsi="Times New Roman" w:cs="Times New Roman"/>
                <w:color w:val="auto"/>
                <w:lang w:eastAsia="en-US" w:bidi="ar-SA"/>
              </w:rPr>
            </w:pPr>
          </w:p>
        </w:tc>
      </w:tr>
      <w:tr w:rsidR="00887AAD" w:rsidRPr="00887AAD" w:rsidTr="00887AAD">
        <w:tc>
          <w:tcPr>
            <w:tcW w:w="1669" w:type="dxa"/>
            <w:hideMark/>
          </w:tcPr>
          <w:p w:rsidR="00887AAD" w:rsidRPr="00887AAD" w:rsidRDefault="00887AAD" w:rsidP="00887AAD">
            <w:pPr>
              <w:widowControl/>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Esas Yasanın</w:t>
            </w:r>
          </w:p>
          <w:p w:rsidR="00887AAD" w:rsidRPr="00887AAD" w:rsidRDefault="00887AAD" w:rsidP="00887AAD">
            <w:pPr>
              <w:widowControl/>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36’ncı</w:t>
            </w:r>
          </w:p>
        </w:tc>
        <w:tc>
          <w:tcPr>
            <w:tcW w:w="8186" w:type="dxa"/>
            <w:gridSpan w:val="8"/>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2. Esas Yasa, 36’ncı maddesi kaldırılmak ve yerine aşağıdaki yeni 36’ncı madde konmak suretiyle değiştirilir:</w:t>
            </w:r>
          </w:p>
        </w:tc>
      </w:tr>
      <w:tr w:rsidR="00887AAD" w:rsidRPr="00887AAD" w:rsidTr="00887AAD">
        <w:tc>
          <w:tcPr>
            <w:tcW w:w="1669" w:type="dxa"/>
            <w:hideMark/>
          </w:tcPr>
          <w:p w:rsidR="00887AAD" w:rsidRPr="00887AAD" w:rsidRDefault="00887AAD" w:rsidP="00887AAD">
            <w:pPr>
              <w:widowControl/>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Maddesinin</w:t>
            </w:r>
          </w:p>
        </w:tc>
        <w:tc>
          <w:tcPr>
            <w:tcW w:w="8186" w:type="dxa"/>
            <w:gridSpan w:val="8"/>
          </w:tcPr>
          <w:p w:rsidR="00887AAD" w:rsidRPr="00887AAD" w:rsidRDefault="00887AAD" w:rsidP="00887AAD">
            <w:pPr>
              <w:widowControl/>
              <w:jc w:val="both"/>
              <w:rPr>
                <w:rFonts w:ascii="Times New Roman" w:eastAsia="Times New Roman" w:hAnsi="Times New Roman" w:cs="Times New Roman"/>
                <w:color w:val="auto"/>
                <w:lang w:eastAsia="en-US" w:bidi="ar-SA"/>
              </w:rPr>
            </w:pPr>
          </w:p>
        </w:tc>
      </w:tr>
      <w:tr w:rsidR="00887AAD" w:rsidRPr="00887AAD" w:rsidTr="00887AAD">
        <w:tc>
          <w:tcPr>
            <w:tcW w:w="1669" w:type="dxa"/>
            <w:hideMark/>
          </w:tcPr>
          <w:p w:rsidR="00887AAD" w:rsidRPr="00887AAD" w:rsidRDefault="00887AAD" w:rsidP="00887AAD">
            <w:pPr>
              <w:widowControl/>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Değiştirilmesi</w:t>
            </w: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1701" w:type="dxa"/>
            <w:gridSpan w:val="3"/>
            <w:hideMark/>
          </w:tcPr>
          <w:p w:rsidR="00887AAD" w:rsidRPr="00887AAD" w:rsidRDefault="00887AAD" w:rsidP="00887AAD">
            <w:pPr>
              <w:widowControl/>
              <w:rPr>
                <w:rFonts w:ascii="Times New Roman" w:eastAsia="Times New Roman" w:hAnsi="Times New Roman" w:cs="Times New Roman"/>
                <w:color w:val="auto"/>
                <w:lang w:bidi="ar-SA"/>
              </w:rPr>
            </w:pPr>
            <w:r w:rsidRPr="00887AAD">
              <w:rPr>
                <w:rFonts w:ascii="Times New Roman" w:eastAsia="Times New Roman" w:hAnsi="Times New Roman" w:cs="Times New Roman"/>
                <w:color w:val="auto"/>
                <w:lang w:bidi="ar-SA"/>
              </w:rPr>
              <w:t>“Bakanlığın</w:t>
            </w:r>
          </w:p>
          <w:p w:rsidR="00887AAD" w:rsidRPr="00887AAD" w:rsidRDefault="00887AAD" w:rsidP="00887AAD">
            <w:pPr>
              <w:widowControl/>
              <w:rPr>
                <w:rFonts w:ascii="Times New Roman" w:eastAsia="Times New Roman" w:hAnsi="Times New Roman" w:cs="Times New Roman"/>
                <w:color w:val="auto"/>
                <w:lang w:bidi="ar-SA"/>
              </w:rPr>
            </w:pPr>
            <w:r w:rsidRPr="00887AAD">
              <w:rPr>
                <w:rFonts w:ascii="Times New Roman" w:eastAsia="Times New Roman" w:hAnsi="Times New Roman" w:cs="Times New Roman"/>
                <w:color w:val="auto"/>
                <w:lang w:bidi="ar-SA"/>
              </w:rPr>
              <w:t xml:space="preserve"> Hastalıklardan</w:t>
            </w:r>
          </w:p>
          <w:p w:rsidR="00887AAD" w:rsidRPr="00887AAD" w:rsidRDefault="00887AAD" w:rsidP="00887AAD">
            <w:pPr>
              <w:widowControl/>
              <w:rPr>
                <w:rFonts w:ascii="Times New Roman" w:eastAsia="Times New Roman" w:hAnsi="Times New Roman" w:cs="Times New Roman"/>
                <w:color w:val="auto"/>
                <w:lang w:bidi="ar-SA"/>
              </w:rPr>
            </w:pPr>
            <w:r w:rsidRPr="00887AAD">
              <w:rPr>
                <w:rFonts w:ascii="Times New Roman" w:eastAsia="Times New Roman" w:hAnsi="Times New Roman" w:cs="Times New Roman"/>
                <w:color w:val="auto"/>
                <w:lang w:bidi="ar-SA"/>
              </w:rPr>
              <w:t xml:space="preserve"> Korunma İçin</w:t>
            </w:r>
          </w:p>
          <w:p w:rsidR="00887AAD" w:rsidRPr="00887AAD" w:rsidRDefault="00887AAD" w:rsidP="00887AAD">
            <w:pPr>
              <w:widowControl/>
              <w:rPr>
                <w:rFonts w:ascii="Times New Roman" w:eastAsia="Times New Roman" w:hAnsi="Times New Roman" w:cs="Times New Roman"/>
                <w:color w:val="auto"/>
                <w:lang w:bidi="ar-SA"/>
              </w:rPr>
            </w:pPr>
            <w:r w:rsidRPr="00887AAD">
              <w:rPr>
                <w:rFonts w:ascii="Times New Roman" w:eastAsia="Times New Roman" w:hAnsi="Times New Roman" w:cs="Times New Roman"/>
                <w:color w:val="auto"/>
                <w:lang w:bidi="ar-SA"/>
              </w:rPr>
              <w:t xml:space="preserve"> Tedbir Alma</w:t>
            </w:r>
          </w:p>
          <w:p w:rsidR="00887AAD" w:rsidRPr="00887AAD" w:rsidRDefault="00887AAD" w:rsidP="00887AAD">
            <w:pPr>
              <w:widowControl/>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bidi="ar-SA"/>
              </w:rPr>
              <w:t xml:space="preserve"> Yetkisi</w:t>
            </w:r>
          </w:p>
        </w:tc>
        <w:tc>
          <w:tcPr>
            <w:tcW w:w="567" w:type="dxa"/>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36.</w:t>
            </w:r>
          </w:p>
        </w:tc>
        <w:tc>
          <w:tcPr>
            <w:tcW w:w="567" w:type="dxa"/>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(1)</w:t>
            </w:r>
          </w:p>
        </w:tc>
        <w:tc>
          <w:tcPr>
            <w:tcW w:w="5068" w:type="dxa"/>
            <w:gridSpan w:val="2"/>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 xml:space="preserve">Kuzey Kıbrıs Türk Cumhuriyetinin herhangi bir bölgesi veya tamamı tehlikeli bir </w:t>
            </w:r>
            <w:proofErr w:type="spellStart"/>
            <w:r w:rsidRPr="00887AAD">
              <w:rPr>
                <w:rFonts w:ascii="Times New Roman" w:eastAsia="Times New Roman" w:hAnsi="Times New Roman" w:cs="Times New Roman"/>
                <w:color w:val="auto"/>
                <w:lang w:eastAsia="en-US" w:bidi="ar-SA"/>
              </w:rPr>
              <w:t>epidemik</w:t>
            </w:r>
            <w:proofErr w:type="spellEnd"/>
            <w:r w:rsidRPr="00887AAD">
              <w:rPr>
                <w:rFonts w:ascii="Times New Roman" w:eastAsia="Times New Roman" w:hAnsi="Times New Roman" w:cs="Times New Roman"/>
                <w:color w:val="auto"/>
                <w:lang w:eastAsia="en-US" w:bidi="ar-SA"/>
              </w:rPr>
              <w:t xml:space="preserve"> veya bulaşıcı hastalığın tehdidi veya etkisi altında olduğunda, Bakanlık, hastalığın ülkede yayılımının önlenmesi ve/veya hafifletilmesi için Bulaşıcı Hastalıklar Üst Komitesinin önerileri ile Dünya Sağlık Örgütünün önerilerini dikkate alarak uygun bulduğu hususlarda tedbirler alabilir.</w:t>
            </w:r>
          </w:p>
        </w:tc>
      </w:tr>
      <w:tr w:rsidR="00887AAD" w:rsidRPr="00887AAD" w:rsidTr="00887AAD">
        <w:tc>
          <w:tcPr>
            <w:tcW w:w="1669"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1701" w:type="dxa"/>
            <w:gridSpan w:val="3"/>
          </w:tcPr>
          <w:p w:rsidR="00887AAD" w:rsidRPr="00887AAD" w:rsidRDefault="00887AAD" w:rsidP="00887AAD">
            <w:pPr>
              <w:widowControl/>
              <w:rPr>
                <w:rFonts w:ascii="Times New Roman" w:eastAsia="Times New Roman" w:hAnsi="Times New Roman" w:cs="Times New Roman"/>
                <w:color w:val="auto"/>
                <w:lang w:bidi="ar-SA"/>
              </w:rPr>
            </w:pPr>
          </w:p>
        </w:tc>
        <w:tc>
          <w:tcPr>
            <w:tcW w:w="567"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567" w:type="dxa"/>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(2)</w:t>
            </w:r>
          </w:p>
        </w:tc>
        <w:tc>
          <w:tcPr>
            <w:tcW w:w="5068" w:type="dxa"/>
            <w:gridSpan w:val="2"/>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 xml:space="preserve">Yukarıdaki (1)’inci fıkra uyarınca, sosyal mesafeye, </w:t>
            </w:r>
            <w:proofErr w:type="gramStart"/>
            <w:r w:rsidRPr="00887AAD">
              <w:rPr>
                <w:rFonts w:ascii="Times New Roman" w:eastAsia="Times New Roman" w:hAnsi="Times New Roman" w:cs="Times New Roman"/>
                <w:color w:val="auto"/>
                <w:lang w:eastAsia="en-US" w:bidi="ar-SA"/>
              </w:rPr>
              <w:t>hijyen</w:t>
            </w:r>
            <w:proofErr w:type="gramEnd"/>
            <w:r w:rsidRPr="00887AAD">
              <w:rPr>
                <w:rFonts w:ascii="Times New Roman" w:eastAsia="Times New Roman" w:hAnsi="Times New Roman" w:cs="Times New Roman"/>
                <w:color w:val="auto"/>
                <w:lang w:eastAsia="en-US" w:bidi="ar-SA"/>
              </w:rPr>
              <w:t xml:space="preserve"> ve karantina kurallarına, izolasyonlara (tecrit), maske takmaya, Bakanlıkça imzalatılan taahhütnamenin içeriğindeki beyana ve/veya taahhütlere ilişkin kurallara, yapılması öngörülen testlere, toplu yaşam alanlarında, işletmelerde, iş yerlerinde, organizasyonlarda, etkinliklerde ve/veya eğlence yerlerinde alınması gereken tedbirlere ilişkin kararlar ve/veya belirli işyerlerinin kapatılmasına ilişkin alınan kararlar Bakanlıkça Resmi </w:t>
            </w:r>
            <w:proofErr w:type="spellStart"/>
            <w:r w:rsidRPr="00887AAD">
              <w:rPr>
                <w:rFonts w:ascii="Times New Roman" w:eastAsia="Times New Roman" w:hAnsi="Times New Roman" w:cs="Times New Roman"/>
                <w:color w:val="auto"/>
                <w:lang w:eastAsia="en-US" w:bidi="ar-SA"/>
              </w:rPr>
              <w:t>Gazete’de</w:t>
            </w:r>
            <w:proofErr w:type="spellEnd"/>
            <w:r w:rsidRPr="00887AAD">
              <w:rPr>
                <w:rFonts w:ascii="Times New Roman" w:eastAsia="Times New Roman" w:hAnsi="Times New Roman" w:cs="Times New Roman"/>
                <w:color w:val="auto"/>
                <w:lang w:eastAsia="en-US" w:bidi="ar-SA"/>
              </w:rPr>
              <w:t xml:space="preserve"> yayımlanır. </w:t>
            </w:r>
          </w:p>
        </w:tc>
      </w:tr>
      <w:tr w:rsidR="00887AAD" w:rsidRPr="00887AAD" w:rsidTr="00887AAD">
        <w:tc>
          <w:tcPr>
            <w:tcW w:w="1669"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1701" w:type="dxa"/>
            <w:gridSpan w:val="3"/>
          </w:tcPr>
          <w:p w:rsidR="00887AAD" w:rsidRPr="00887AAD" w:rsidRDefault="00887AAD" w:rsidP="00887AAD">
            <w:pPr>
              <w:widowControl/>
              <w:rPr>
                <w:rFonts w:ascii="Times New Roman" w:eastAsia="Times New Roman" w:hAnsi="Times New Roman" w:cs="Times New Roman"/>
                <w:color w:val="auto"/>
                <w:lang w:bidi="ar-SA"/>
              </w:rPr>
            </w:pPr>
          </w:p>
        </w:tc>
        <w:tc>
          <w:tcPr>
            <w:tcW w:w="567"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567" w:type="dxa"/>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(3)</w:t>
            </w:r>
          </w:p>
        </w:tc>
        <w:tc>
          <w:tcPr>
            <w:tcW w:w="5068" w:type="dxa"/>
            <w:gridSpan w:val="2"/>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 xml:space="preserve">Toplu yaşam alanlarından sorumlu yetkililer, işletme, iş yeri ve eğlence yeri sahipleri ile </w:t>
            </w:r>
            <w:r w:rsidRPr="00887AAD">
              <w:rPr>
                <w:rFonts w:ascii="Times New Roman" w:eastAsia="Times New Roman" w:hAnsi="Times New Roman" w:cs="Times New Roman"/>
                <w:color w:val="auto"/>
                <w:lang w:eastAsia="en-US" w:bidi="ar-SA"/>
              </w:rPr>
              <w:lastRenderedPageBreak/>
              <w:t>organizasyon veya etkinlik düzenleyenler yukarıdaki (2)’</w:t>
            </w:r>
            <w:proofErr w:type="spellStart"/>
            <w:r w:rsidRPr="00887AAD">
              <w:rPr>
                <w:rFonts w:ascii="Times New Roman" w:eastAsia="Times New Roman" w:hAnsi="Times New Roman" w:cs="Times New Roman"/>
                <w:color w:val="auto"/>
                <w:lang w:eastAsia="en-US" w:bidi="ar-SA"/>
              </w:rPr>
              <w:t>nci</w:t>
            </w:r>
            <w:proofErr w:type="spellEnd"/>
            <w:r w:rsidRPr="00887AAD">
              <w:rPr>
                <w:rFonts w:ascii="Times New Roman" w:eastAsia="Times New Roman" w:hAnsi="Times New Roman" w:cs="Times New Roman"/>
                <w:color w:val="auto"/>
                <w:lang w:eastAsia="en-US" w:bidi="ar-SA"/>
              </w:rPr>
              <w:t xml:space="preserve"> fıkrada belirlenen kararlara uymak, uyulmasını sağlamak ve buna ilişkin gerekli önlemleri almakla yükümlüdürler. </w:t>
            </w:r>
          </w:p>
        </w:tc>
      </w:tr>
      <w:tr w:rsidR="00887AAD" w:rsidRPr="00887AAD" w:rsidTr="00887AAD">
        <w:tc>
          <w:tcPr>
            <w:tcW w:w="1669"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1701" w:type="dxa"/>
            <w:gridSpan w:val="3"/>
          </w:tcPr>
          <w:p w:rsidR="00887AAD" w:rsidRPr="00887AAD" w:rsidRDefault="00887AAD" w:rsidP="00887AAD">
            <w:pPr>
              <w:widowControl/>
              <w:rPr>
                <w:rFonts w:ascii="Times New Roman" w:eastAsia="Times New Roman" w:hAnsi="Times New Roman" w:cs="Times New Roman"/>
                <w:color w:val="auto"/>
                <w:lang w:bidi="ar-SA"/>
              </w:rPr>
            </w:pPr>
          </w:p>
        </w:tc>
        <w:tc>
          <w:tcPr>
            <w:tcW w:w="567"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567" w:type="dxa"/>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(4)</w:t>
            </w:r>
          </w:p>
        </w:tc>
        <w:tc>
          <w:tcPr>
            <w:tcW w:w="5068" w:type="dxa"/>
            <w:gridSpan w:val="2"/>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 xml:space="preserve">Aşağıda belirtilen konularda Bakanlıkça hazırlanıp Bakanlar Kurulunca onaylanarak Resmi </w:t>
            </w:r>
            <w:proofErr w:type="spellStart"/>
            <w:r w:rsidRPr="00887AAD">
              <w:rPr>
                <w:rFonts w:ascii="Times New Roman" w:eastAsia="Times New Roman" w:hAnsi="Times New Roman" w:cs="Times New Roman"/>
                <w:color w:val="auto"/>
                <w:lang w:eastAsia="en-US" w:bidi="ar-SA"/>
              </w:rPr>
              <w:t>Gazete’de</w:t>
            </w:r>
            <w:proofErr w:type="spellEnd"/>
            <w:r w:rsidRPr="00887AAD">
              <w:rPr>
                <w:rFonts w:ascii="Times New Roman" w:eastAsia="Times New Roman" w:hAnsi="Times New Roman" w:cs="Times New Roman"/>
                <w:color w:val="auto"/>
                <w:lang w:eastAsia="en-US" w:bidi="ar-SA"/>
              </w:rPr>
              <w:t xml:space="preserve"> yayımlanacak tüzükler yapılır:</w:t>
            </w:r>
          </w:p>
        </w:tc>
      </w:tr>
      <w:tr w:rsidR="00887AAD" w:rsidRPr="00887AAD" w:rsidTr="00887AAD">
        <w:tc>
          <w:tcPr>
            <w:tcW w:w="1669"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1701" w:type="dxa"/>
            <w:gridSpan w:val="3"/>
          </w:tcPr>
          <w:p w:rsidR="00887AAD" w:rsidRPr="00887AAD" w:rsidRDefault="00887AAD" w:rsidP="00887AAD">
            <w:pPr>
              <w:widowControl/>
              <w:rPr>
                <w:rFonts w:ascii="Times New Roman" w:eastAsia="Times New Roman" w:hAnsi="Times New Roman" w:cs="Times New Roman"/>
                <w:color w:val="auto"/>
                <w:lang w:bidi="ar-SA"/>
              </w:rPr>
            </w:pPr>
          </w:p>
        </w:tc>
        <w:tc>
          <w:tcPr>
            <w:tcW w:w="567"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567"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(A)</w:t>
            </w:r>
          </w:p>
        </w:tc>
        <w:tc>
          <w:tcPr>
            <w:tcW w:w="4359" w:type="dxa"/>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 xml:space="preserve">Yukarıdaki (1)’inci fıkra uyarınca alınacak tedbirler hakkında. </w:t>
            </w:r>
          </w:p>
        </w:tc>
      </w:tr>
      <w:tr w:rsidR="00887AAD" w:rsidRPr="00887AAD" w:rsidTr="00887AAD">
        <w:tc>
          <w:tcPr>
            <w:tcW w:w="1669"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1701" w:type="dxa"/>
            <w:gridSpan w:val="3"/>
          </w:tcPr>
          <w:p w:rsidR="00887AAD" w:rsidRPr="00887AAD" w:rsidRDefault="00887AAD" w:rsidP="00887AAD">
            <w:pPr>
              <w:widowControl/>
              <w:rPr>
                <w:rFonts w:ascii="Times New Roman" w:eastAsia="Times New Roman" w:hAnsi="Times New Roman" w:cs="Times New Roman"/>
                <w:color w:val="auto"/>
                <w:lang w:bidi="ar-SA"/>
              </w:rPr>
            </w:pPr>
          </w:p>
        </w:tc>
        <w:tc>
          <w:tcPr>
            <w:tcW w:w="567"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567"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(B)</w:t>
            </w:r>
          </w:p>
        </w:tc>
        <w:tc>
          <w:tcPr>
            <w:tcW w:w="4359" w:type="dxa"/>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Yukarıdaki (2)’</w:t>
            </w:r>
            <w:proofErr w:type="spellStart"/>
            <w:r w:rsidRPr="00887AAD">
              <w:rPr>
                <w:rFonts w:ascii="Times New Roman" w:eastAsia="Times New Roman" w:hAnsi="Times New Roman" w:cs="Times New Roman"/>
                <w:color w:val="auto"/>
                <w:lang w:eastAsia="en-US" w:bidi="ar-SA"/>
              </w:rPr>
              <w:t>nci</w:t>
            </w:r>
            <w:proofErr w:type="spellEnd"/>
            <w:r w:rsidRPr="00887AAD">
              <w:rPr>
                <w:rFonts w:ascii="Times New Roman" w:eastAsia="Times New Roman" w:hAnsi="Times New Roman" w:cs="Times New Roman"/>
                <w:color w:val="auto"/>
                <w:lang w:eastAsia="en-US" w:bidi="ar-SA"/>
              </w:rPr>
              <w:t xml:space="preserve"> fıkrada belirtilen koşulların düzenlenmesi ve alınan tedbirlerin uygulanması hakkında.”</w:t>
            </w:r>
          </w:p>
        </w:tc>
      </w:tr>
      <w:tr w:rsidR="00887AAD" w:rsidRPr="00887AAD" w:rsidTr="00887AAD">
        <w:tc>
          <w:tcPr>
            <w:tcW w:w="1669"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1701" w:type="dxa"/>
            <w:gridSpan w:val="3"/>
          </w:tcPr>
          <w:p w:rsidR="00887AAD" w:rsidRPr="00887AAD" w:rsidRDefault="00887AAD" w:rsidP="00887AAD">
            <w:pPr>
              <w:widowControl/>
              <w:rPr>
                <w:rFonts w:ascii="Times New Roman" w:eastAsia="Times New Roman" w:hAnsi="Times New Roman" w:cs="Times New Roman"/>
                <w:color w:val="auto"/>
                <w:lang w:bidi="ar-SA"/>
              </w:rPr>
            </w:pPr>
          </w:p>
        </w:tc>
        <w:tc>
          <w:tcPr>
            <w:tcW w:w="567"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567"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4359"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r>
      <w:tr w:rsidR="00887AAD" w:rsidRPr="00887AAD" w:rsidTr="00887AAD">
        <w:tc>
          <w:tcPr>
            <w:tcW w:w="1668" w:type="dxa"/>
            <w:hideMark/>
          </w:tcPr>
          <w:p w:rsidR="00887AAD" w:rsidRPr="00887AAD" w:rsidRDefault="00887AAD" w:rsidP="00887AAD">
            <w:pPr>
              <w:widowControl/>
              <w:rPr>
                <w:rFonts w:ascii="Times New Roman" w:eastAsia="Times New Roman" w:hAnsi="Times New Roman" w:cs="Times New Roman"/>
                <w:color w:val="auto"/>
                <w:lang w:eastAsia="en-US" w:bidi="ar-SA"/>
              </w:rPr>
            </w:pPr>
            <w:bookmarkStart w:id="0" w:name="_GoBack"/>
            <w:bookmarkEnd w:id="0"/>
            <w:r w:rsidRPr="00887AAD">
              <w:rPr>
                <w:rFonts w:ascii="Times New Roman" w:eastAsia="Times New Roman" w:hAnsi="Times New Roman" w:cs="Times New Roman"/>
                <w:color w:val="auto"/>
                <w:lang w:eastAsia="en-US" w:bidi="ar-SA"/>
              </w:rPr>
              <w:t xml:space="preserve">Esas Yasanın 43’üncü </w:t>
            </w:r>
          </w:p>
          <w:p w:rsidR="00887AAD" w:rsidRPr="00887AAD" w:rsidRDefault="00887AAD" w:rsidP="00887AAD">
            <w:pPr>
              <w:widowControl/>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Maddesinin</w:t>
            </w:r>
          </w:p>
        </w:tc>
        <w:tc>
          <w:tcPr>
            <w:tcW w:w="8187" w:type="dxa"/>
            <w:gridSpan w:val="8"/>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3. Esas Yasa, 43’üncü maddesinin mevcut (5)’inci fıkrasından hemen sonra sırasıyla aşağıdaki yeni (6)’</w:t>
            </w:r>
            <w:proofErr w:type="spellStart"/>
            <w:r w:rsidRPr="00887AAD">
              <w:rPr>
                <w:rFonts w:ascii="Times New Roman" w:eastAsia="Times New Roman" w:hAnsi="Times New Roman" w:cs="Times New Roman"/>
                <w:color w:val="auto"/>
                <w:lang w:eastAsia="en-US" w:bidi="ar-SA"/>
              </w:rPr>
              <w:t>ncı</w:t>
            </w:r>
            <w:proofErr w:type="spellEnd"/>
            <w:r w:rsidRPr="00887AAD">
              <w:rPr>
                <w:rFonts w:ascii="Times New Roman" w:eastAsia="Times New Roman" w:hAnsi="Times New Roman" w:cs="Times New Roman"/>
                <w:color w:val="auto"/>
                <w:lang w:eastAsia="en-US" w:bidi="ar-SA"/>
              </w:rPr>
              <w:t>, (7)’</w:t>
            </w:r>
            <w:proofErr w:type="spellStart"/>
            <w:r w:rsidRPr="00887AAD">
              <w:rPr>
                <w:rFonts w:ascii="Times New Roman" w:eastAsia="Times New Roman" w:hAnsi="Times New Roman" w:cs="Times New Roman"/>
                <w:color w:val="auto"/>
                <w:lang w:eastAsia="en-US" w:bidi="ar-SA"/>
              </w:rPr>
              <w:t>nci</w:t>
            </w:r>
            <w:proofErr w:type="spellEnd"/>
            <w:r w:rsidRPr="00887AAD">
              <w:rPr>
                <w:rFonts w:ascii="Times New Roman" w:eastAsia="Times New Roman" w:hAnsi="Times New Roman" w:cs="Times New Roman"/>
                <w:color w:val="auto"/>
                <w:lang w:eastAsia="en-US" w:bidi="ar-SA"/>
              </w:rPr>
              <w:t>, (8)’inci ve (9)’uncu fıkralar eklenmek suretiyle değiştirilir:</w:t>
            </w:r>
          </w:p>
        </w:tc>
      </w:tr>
      <w:tr w:rsidR="00887AAD" w:rsidRPr="00887AAD" w:rsidTr="00887AAD">
        <w:tc>
          <w:tcPr>
            <w:tcW w:w="1668" w:type="dxa"/>
            <w:hideMark/>
          </w:tcPr>
          <w:p w:rsidR="00887AAD" w:rsidRPr="00887AAD" w:rsidRDefault="00887AAD" w:rsidP="00887AAD">
            <w:pPr>
              <w:widowControl/>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Değiştirilmesi</w:t>
            </w:r>
          </w:p>
        </w:tc>
        <w:tc>
          <w:tcPr>
            <w:tcW w:w="8187" w:type="dxa"/>
            <w:gridSpan w:val="8"/>
          </w:tcPr>
          <w:p w:rsidR="00887AAD" w:rsidRPr="00887AAD" w:rsidRDefault="00887AAD" w:rsidP="00887AAD">
            <w:pPr>
              <w:widowControl/>
              <w:jc w:val="both"/>
              <w:rPr>
                <w:rFonts w:ascii="Times New Roman" w:eastAsia="Times New Roman" w:hAnsi="Times New Roman" w:cs="Times New Roman"/>
                <w:color w:val="auto"/>
                <w:lang w:eastAsia="en-US" w:bidi="ar-SA"/>
              </w:rPr>
            </w:pPr>
          </w:p>
        </w:tc>
      </w:tr>
      <w:tr w:rsidR="00887AAD" w:rsidRPr="00887AAD" w:rsidTr="00887AAD">
        <w:tc>
          <w:tcPr>
            <w:tcW w:w="1668"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hideMark/>
          </w:tcPr>
          <w:p w:rsidR="00887AAD" w:rsidRPr="00887AAD" w:rsidRDefault="00887AAD" w:rsidP="00887AAD">
            <w:pPr>
              <w:widowControl/>
              <w:rPr>
                <w:rFonts w:ascii="Times New Roman" w:eastAsia="Times New Roman" w:hAnsi="Times New Roman" w:cs="Times New Roman"/>
                <w:color w:val="auto"/>
                <w:lang w:bidi="ar-SA"/>
              </w:rPr>
            </w:pPr>
            <w:r w:rsidRPr="00887AAD">
              <w:rPr>
                <w:rFonts w:ascii="Times New Roman" w:eastAsia="Times New Roman" w:hAnsi="Times New Roman" w:cs="Times New Roman"/>
                <w:color w:val="auto"/>
                <w:lang w:bidi="ar-SA"/>
              </w:rPr>
              <w:t>“(6)</w:t>
            </w:r>
          </w:p>
        </w:tc>
        <w:tc>
          <w:tcPr>
            <w:tcW w:w="567" w:type="dxa"/>
            <w:hideMark/>
          </w:tcPr>
          <w:p w:rsidR="00887AAD" w:rsidRPr="00887AAD" w:rsidRDefault="00887AAD" w:rsidP="00887AAD">
            <w:pPr>
              <w:widowControl/>
              <w:jc w:val="center"/>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(A)</w:t>
            </w:r>
          </w:p>
        </w:tc>
        <w:tc>
          <w:tcPr>
            <w:tcW w:w="6628" w:type="dxa"/>
            <w:gridSpan w:val="5"/>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Bu Yasanın 36’ncı maddesinin (2)’</w:t>
            </w:r>
            <w:proofErr w:type="spellStart"/>
            <w:r w:rsidRPr="00887AAD">
              <w:rPr>
                <w:rFonts w:ascii="Times New Roman" w:eastAsia="Times New Roman" w:hAnsi="Times New Roman" w:cs="Times New Roman"/>
                <w:color w:val="auto"/>
                <w:lang w:eastAsia="en-US" w:bidi="ar-SA"/>
              </w:rPr>
              <w:t>nci</w:t>
            </w:r>
            <w:proofErr w:type="spellEnd"/>
            <w:r w:rsidRPr="00887AAD">
              <w:rPr>
                <w:rFonts w:ascii="Times New Roman" w:eastAsia="Times New Roman" w:hAnsi="Times New Roman" w:cs="Times New Roman"/>
                <w:color w:val="auto"/>
                <w:lang w:eastAsia="en-US" w:bidi="ar-SA"/>
              </w:rPr>
              <w:t xml:space="preserve"> fıkra kurallarına aykırı davranmak suretiyle maske ve/veya sosyal mesafe kurallarına uyulmaması halinde, aylık brüt asgari ücretin 1/10 (onda biri)’u tutarında idari para cezası uygulanır.</w:t>
            </w:r>
          </w:p>
        </w:tc>
      </w:tr>
      <w:tr w:rsidR="00887AAD" w:rsidRPr="00887AAD" w:rsidTr="00887AAD">
        <w:tc>
          <w:tcPr>
            <w:tcW w:w="1668"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tcPr>
          <w:p w:rsidR="00887AAD" w:rsidRPr="00887AAD" w:rsidRDefault="00887AAD" w:rsidP="00887AAD">
            <w:pPr>
              <w:widowControl/>
              <w:rPr>
                <w:rFonts w:ascii="Times New Roman" w:eastAsia="Times New Roman" w:hAnsi="Times New Roman" w:cs="Times New Roman"/>
                <w:color w:val="auto"/>
                <w:lang w:bidi="ar-SA"/>
              </w:rPr>
            </w:pPr>
          </w:p>
        </w:tc>
        <w:tc>
          <w:tcPr>
            <w:tcW w:w="567" w:type="dxa"/>
            <w:hideMark/>
          </w:tcPr>
          <w:p w:rsidR="00887AAD" w:rsidRPr="00887AAD" w:rsidRDefault="00887AAD" w:rsidP="00887AAD">
            <w:pPr>
              <w:widowControl/>
              <w:jc w:val="center"/>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(B)</w:t>
            </w:r>
          </w:p>
        </w:tc>
        <w:tc>
          <w:tcPr>
            <w:tcW w:w="6628" w:type="dxa"/>
            <w:gridSpan w:val="5"/>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Bu Yasanın 36’ncı maddesinin (2)’</w:t>
            </w:r>
            <w:proofErr w:type="spellStart"/>
            <w:r w:rsidRPr="00887AAD">
              <w:rPr>
                <w:rFonts w:ascii="Times New Roman" w:eastAsia="Times New Roman" w:hAnsi="Times New Roman" w:cs="Times New Roman"/>
                <w:color w:val="auto"/>
                <w:lang w:eastAsia="en-US" w:bidi="ar-SA"/>
              </w:rPr>
              <w:t>nci</w:t>
            </w:r>
            <w:proofErr w:type="spellEnd"/>
            <w:r w:rsidRPr="00887AAD">
              <w:rPr>
                <w:rFonts w:ascii="Times New Roman" w:eastAsia="Times New Roman" w:hAnsi="Times New Roman" w:cs="Times New Roman"/>
                <w:color w:val="auto"/>
                <w:lang w:eastAsia="en-US" w:bidi="ar-SA"/>
              </w:rPr>
              <w:t xml:space="preserve"> fıkra kurallarına aykırı davranmak suretiyle, Bakanlıkça imzalatılan taahhütnamenin içeriğindeki beyana ve/veya taahhütlere ilişkin kurallara uymayan, </w:t>
            </w:r>
            <w:proofErr w:type="gramStart"/>
            <w:r w:rsidRPr="00887AAD">
              <w:rPr>
                <w:rFonts w:ascii="Times New Roman" w:eastAsia="Times New Roman" w:hAnsi="Times New Roman" w:cs="Times New Roman"/>
                <w:color w:val="auto"/>
                <w:lang w:eastAsia="en-US" w:bidi="ar-SA"/>
              </w:rPr>
              <w:t>izolasyon</w:t>
            </w:r>
            <w:proofErr w:type="gramEnd"/>
            <w:r w:rsidRPr="00887AAD">
              <w:rPr>
                <w:rFonts w:ascii="Times New Roman" w:eastAsia="Times New Roman" w:hAnsi="Times New Roman" w:cs="Times New Roman"/>
                <w:color w:val="auto"/>
                <w:lang w:eastAsia="en-US" w:bidi="ar-SA"/>
              </w:rPr>
              <w:t xml:space="preserve"> (tecrit) kuralına uymayan veya karantina kurallarına uymayanlar bir suç işlemiş olurlar ve mahkumiyetleri halinde </w:t>
            </w:r>
            <w:r w:rsidRPr="00887AAD">
              <w:rPr>
                <w:rFonts w:ascii="Times New Roman" w:eastAsia="Calibri" w:hAnsi="Times New Roman" w:cs="Times New Roman"/>
                <w:color w:val="auto"/>
                <w:lang w:eastAsia="en-US" w:bidi="ar-SA"/>
              </w:rPr>
              <w:t xml:space="preserve">aylık </w:t>
            </w:r>
            <w:r w:rsidRPr="00887AAD">
              <w:rPr>
                <w:rFonts w:ascii="Times New Roman" w:eastAsia="Times New Roman" w:hAnsi="Times New Roman" w:cs="Times New Roman"/>
                <w:color w:val="auto"/>
                <w:lang w:eastAsia="en-US" w:bidi="ar-SA"/>
              </w:rPr>
              <w:t xml:space="preserve">brüt </w:t>
            </w:r>
            <w:r w:rsidRPr="00887AAD">
              <w:rPr>
                <w:rFonts w:ascii="Times New Roman" w:eastAsia="Calibri" w:hAnsi="Times New Roman" w:cs="Times New Roman"/>
                <w:color w:val="auto"/>
                <w:lang w:eastAsia="en-US" w:bidi="ar-SA"/>
              </w:rPr>
              <w:t>asgari ücretin 5 (beş) katı tutarına kadar para cezasına veya 1 (bir) yıla kadar hapis cezasına veya her iki cezaya birden çarptırılabilirler.</w:t>
            </w:r>
          </w:p>
        </w:tc>
      </w:tr>
      <w:tr w:rsidR="00887AAD" w:rsidRPr="00887AAD" w:rsidTr="00887AAD">
        <w:trPr>
          <w:trHeight w:val="950"/>
        </w:trPr>
        <w:tc>
          <w:tcPr>
            <w:tcW w:w="1668"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tcPr>
          <w:p w:rsidR="00887AAD" w:rsidRPr="00887AAD" w:rsidRDefault="00887AAD" w:rsidP="00887AAD">
            <w:pPr>
              <w:widowControl/>
              <w:rPr>
                <w:rFonts w:ascii="Times New Roman" w:eastAsia="Times New Roman" w:hAnsi="Times New Roman" w:cs="Times New Roman"/>
                <w:color w:val="auto"/>
                <w:lang w:bidi="ar-SA"/>
              </w:rPr>
            </w:pPr>
          </w:p>
        </w:tc>
        <w:tc>
          <w:tcPr>
            <w:tcW w:w="567" w:type="dxa"/>
            <w:hideMark/>
          </w:tcPr>
          <w:p w:rsidR="00887AAD" w:rsidRPr="00887AAD" w:rsidRDefault="00887AAD" w:rsidP="00887AAD">
            <w:pPr>
              <w:widowControl/>
              <w:jc w:val="center"/>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(C)</w:t>
            </w:r>
          </w:p>
        </w:tc>
        <w:tc>
          <w:tcPr>
            <w:tcW w:w="6628" w:type="dxa"/>
            <w:gridSpan w:val="5"/>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Bu Yasanın 36’ncı maddesinin (3)’üncü fıkrasında belirtilen kurallara aykırı hareket edenlere, aylık brüt asgari ücret tutarında idari para cezası verilir ve bu yerler 24 saat süreyle kapatılır. Organizasyon ve etkinlikler derhal durdurulur.</w:t>
            </w:r>
          </w:p>
        </w:tc>
      </w:tr>
      <w:tr w:rsidR="00887AAD" w:rsidRPr="00887AAD" w:rsidTr="00887AAD">
        <w:tc>
          <w:tcPr>
            <w:tcW w:w="1668"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tcPr>
          <w:p w:rsidR="00887AAD" w:rsidRPr="00887AAD" w:rsidRDefault="00887AAD" w:rsidP="00887AAD">
            <w:pPr>
              <w:widowControl/>
              <w:rPr>
                <w:rFonts w:ascii="Times New Roman" w:eastAsia="Times New Roman" w:hAnsi="Times New Roman" w:cs="Times New Roman"/>
                <w:color w:val="auto"/>
                <w:lang w:bidi="ar-SA"/>
              </w:rPr>
            </w:pPr>
          </w:p>
        </w:tc>
        <w:tc>
          <w:tcPr>
            <w:tcW w:w="567" w:type="dxa"/>
            <w:hideMark/>
          </w:tcPr>
          <w:p w:rsidR="00887AAD" w:rsidRPr="00887AAD" w:rsidRDefault="00887AAD" w:rsidP="00887AAD">
            <w:pPr>
              <w:widowControl/>
              <w:jc w:val="center"/>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(Ç)</w:t>
            </w:r>
          </w:p>
        </w:tc>
        <w:tc>
          <w:tcPr>
            <w:tcW w:w="6628" w:type="dxa"/>
            <w:gridSpan w:val="5"/>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Calibri" w:hAnsi="Times New Roman" w:cs="Times New Roman"/>
                <w:color w:val="auto"/>
                <w:lang w:eastAsia="en-US" w:bidi="ar-SA"/>
              </w:rPr>
              <w:t xml:space="preserve">Yukarıdaki (A) ve (C) bentlerinde öngörülen aykırılıklara ilişkin idari para cezalarını 30 gün içerisinde ödemeyenler, bir suç işlemiş olurlar ve bu suçun bu Yasanın 42’nci maddesinin (3)’üncü fıkrası uyarınca mahkemeye intikali ve </w:t>
            </w:r>
            <w:proofErr w:type="gramStart"/>
            <w:r w:rsidRPr="00887AAD">
              <w:rPr>
                <w:rFonts w:ascii="Times New Roman" w:eastAsia="Calibri" w:hAnsi="Times New Roman" w:cs="Times New Roman"/>
                <w:color w:val="auto"/>
                <w:lang w:eastAsia="en-US" w:bidi="ar-SA"/>
              </w:rPr>
              <w:t>mahkumiyet</w:t>
            </w:r>
            <w:proofErr w:type="gramEnd"/>
            <w:r w:rsidRPr="00887AAD">
              <w:rPr>
                <w:rFonts w:ascii="Times New Roman" w:eastAsia="Calibri" w:hAnsi="Times New Roman" w:cs="Times New Roman"/>
                <w:color w:val="auto"/>
                <w:lang w:eastAsia="en-US" w:bidi="ar-SA"/>
              </w:rPr>
              <w:t xml:space="preserve"> halinde, </w:t>
            </w:r>
            <w:r w:rsidRPr="00887AAD">
              <w:rPr>
                <w:rFonts w:ascii="Times New Roman" w:eastAsia="Times New Roman" w:hAnsi="Times New Roman" w:cs="Times New Roman"/>
                <w:color w:val="auto"/>
                <w:lang w:eastAsia="en-US" w:bidi="ar-SA"/>
              </w:rPr>
              <w:t xml:space="preserve">aylık brüt </w:t>
            </w:r>
            <w:r w:rsidRPr="00887AAD">
              <w:rPr>
                <w:rFonts w:ascii="Times New Roman" w:eastAsia="Calibri" w:hAnsi="Times New Roman" w:cs="Times New Roman"/>
                <w:color w:val="auto"/>
                <w:lang w:eastAsia="en-US" w:bidi="ar-SA"/>
              </w:rPr>
              <w:t>asgari ücretin 6 (altı) katı tutarına kadar para cezasına veya 1 (bir) yıla kadar hapis cezasına veya her iki cezaya birden çarptırılabilirler.</w:t>
            </w:r>
          </w:p>
        </w:tc>
      </w:tr>
      <w:tr w:rsidR="00887AAD" w:rsidRPr="00887AAD" w:rsidTr="00887AAD">
        <w:tc>
          <w:tcPr>
            <w:tcW w:w="1668"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hideMark/>
          </w:tcPr>
          <w:p w:rsidR="00887AAD" w:rsidRPr="00887AAD" w:rsidRDefault="00887AAD" w:rsidP="00887AAD">
            <w:pPr>
              <w:widowControl/>
              <w:rPr>
                <w:rFonts w:ascii="Times New Roman" w:eastAsia="Times New Roman" w:hAnsi="Times New Roman" w:cs="Times New Roman"/>
                <w:color w:val="auto"/>
                <w:lang w:bidi="ar-SA"/>
              </w:rPr>
            </w:pPr>
            <w:r w:rsidRPr="00887AAD">
              <w:rPr>
                <w:rFonts w:ascii="Times New Roman" w:eastAsia="Times New Roman" w:hAnsi="Times New Roman" w:cs="Times New Roman"/>
                <w:color w:val="auto"/>
                <w:lang w:bidi="ar-SA"/>
              </w:rPr>
              <w:t xml:space="preserve"> (7)</w:t>
            </w:r>
          </w:p>
        </w:tc>
        <w:tc>
          <w:tcPr>
            <w:tcW w:w="7195" w:type="dxa"/>
            <w:gridSpan w:val="6"/>
            <w:hideMark/>
          </w:tcPr>
          <w:p w:rsidR="00887AAD" w:rsidRPr="00887AAD" w:rsidRDefault="00887AAD" w:rsidP="00887AAD">
            <w:pPr>
              <w:widowControl/>
              <w:jc w:val="both"/>
              <w:rPr>
                <w:rFonts w:ascii="Times New Roman" w:eastAsia="Times New Roman" w:hAnsi="Times New Roman" w:cs="Times New Roman"/>
                <w:color w:val="auto"/>
                <w:lang w:eastAsia="en-US" w:bidi="ar-SA"/>
              </w:rPr>
            </w:pPr>
            <w:proofErr w:type="gramStart"/>
            <w:r w:rsidRPr="00887AAD">
              <w:rPr>
                <w:rFonts w:ascii="Times New Roman" w:eastAsia="Times New Roman" w:hAnsi="Times New Roman" w:cs="Times New Roman"/>
                <w:color w:val="auto"/>
                <w:lang w:eastAsia="en-US" w:bidi="ar-SA"/>
              </w:rPr>
              <w:t xml:space="preserve">Bu Yasanın 39’uncu maddesi uyarınca, Bakanlar Kurulunca tehlikeli bulaşıcı hastalık olarak ilan edilen bir hastalığı olduğunu bilen ve/veya bilebilecek durumda olan kişiler, kamu sağlığını tehdit edebilecek şekilde davranmaları halinde bir suç işlemiş olurlar ve </w:t>
            </w:r>
            <w:r w:rsidRPr="00887AAD">
              <w:rPr>
                <w:rFonts w:ascii="Times New Roman" w:eastAsia="Calibri" w:hAnsi="Times New Roman" w:cs="Times New Roman"/>
                <w:color w:val="auto"/>
                <w:lang w:eastAsia="en-US" w:bidi="ar-SA"/>
              </w:rPr>
              <w:t xml:space="preserve">aylık </w:t>
            </w:r>
            <w:r w:rsidRPr="00887AAD">
              <w:rPr>
                <w:rFonts w:ascii="Times New Roman" w:eastAsia="Times New Roman" w:hAnsi="Times New Roman" w:cs="Times New Roman"/>
                <w:color w:val="auto"/>
                <w:lang w:eastAsia="en-US" w:bidi="ar-SA"/>
              </w:rPr>
              <w:t xml:space="preserve">brüt </w:t>
            </w:r>
            <w:r w:rsidRPr="00887AAD">
              <w:rPr>
                <w:rFonts w:ascii="Times New Roman" w:eastAsia="Calibri" w:hAnsi="Times New Roman" w:cs="Times New Roman"/>
                <w:color w:val="auto"/>
                <w:lang w:eastAsia="en-US" w:bidi="ar-SA"/>
              </w:rPr>
              <w:t>asgari ücretin 5 (beş) katı tutarına kadar para cezasına veya 1 (bir) yıla kadar hapis cezasına veya her iki cezaya birden çarptırılabilirler.</w:t>
            </w:r>
            <w:proofErr w:type="gramEnd"/>
          </w:p>
        </w:tc>
      </w:tr>
      <w:tr w:rsidR="00887AAD" w:rsidRPr="00887AAD" w:rsidTr="00887AAD">
        <w:tc>
          <w:tcPr>
            <w:tcW w:w="1668"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hideMark/>
          </w:tcPr>
          <w:p w:rsidR="00887AAD" w:rsidRPr="00887AAD" w:rsidRDefault="00887AAD" w:rsidP="00887AAD">
            <w:pPr>
              <w:widowControl/>
              <w:rPr>
                <w:rFonts w:ascii="Times New Roman" w:eastAsia="Times New Roman" w:hAnsi="Times New Roman" w:cs="Times New Roman"/>
                <w:color w:val="auto"/>
                <w:lang w:bidi="ar-SA"/>
              </w:rPr>
            </w:pPr>
            <w:r w:rsidRPr="00887AAD">
              <w:rPr>
                <w:rFonts w:ascii="Times New Roman" w:eastAsia="Times New Roman" w:hAnsi="Times New Roman" w:cs="Times New Roman"/>
                <w:color w:val="auto"/>
                <w:lang w:bidi="ar-SA"/>
              </w:rPr>
              <w:t xml:space="preserve"> (8)</w:t>
            </w:r>
          </w:p>
        </w:tc>
        <w:tc>
          <w:tcPr>
            <w:tcW w:w="7195" w:type="dxa"/>
            <w:gridSpan w:val="6"/>
            <w:hideMark/>
          </w:tcPr>
          <w:p w:rsidR="00887AAD" w:rsidRPr="00887AAD" w:rsidRDefault="00887AAD" w:rsidP="00887AAD">
            <w:pPr>
              <w:widowControl/>
              <w:jc w:val="both"/>
              <w:rPr>
                <w:rFonts w:ascii="Times New Roman" w:eastAsia="Calibri" w:hAnsi="Times New Roman" w:cs="Times New Roman"/>
                <w:color w:val="auto"/>
                <w:lang w:eastAsia="en-US" w:bidi="ar-SA"/>
              </w:rPr>
            </w:pPr>
            <w:r w:rsidRPr="00887AAD">
              <w:rPr>
                <w:rFonts w:ascii="Times New Roman" w:eastAsia="Calibri" w:hAnsi="Times New Roman" w:cs="Times New Roman"/>
                <w:color w:val="auto"/>
                <w:lang w:eastAsia="en-US" w:bidi="ar-SA"/>
              </w:rPr>
              <w:t>Bu Yasanın 36’ncı maddesinin (2)’</w:t>
            </w:r>
            <w:proofErr w:type="spellStart"/>
            <w:r w:rsidRPr="00887AAD">
              <w:rPr>
                <w:rFonts w:ascii="Times New Roman" w:eastAsia="Calibri" w:hAnsi="Times New Roman" w:cs="Times New Roman"/>
                <w:color w:val="auto"/>
                <w:lang w:eastAsia="en-US" w:bidi="ar-SA"/>
              </w:rPr>
              <w:t>nci</w:t>
            </w:r>
            <w:proofErr w:type="spellEnd"/>
            <w:r w:rsidRPr="00887AAD">
              <w:rPr>
                <w:rFonts w:ascii="Times New Roman" w:eastAsia="Calibri" w:hAnsi="Times New Roman" w:cs="Times New Roman"/>
                <w:color w:val="auto"/>
                <w:lang w:eastAsia="en-US" w:bidi="ar-SA"/>
              </w:rPr>
              <w:t xml:space="preserve"> fıkrasında belirtilen kapatma kararına aykırı hareket edenler, bir suç işlemiş olurlar ve </w:t>
            </w:r>
            <w:proofErr w:type="gramStart"/>
            <w:r w:rsidRPr="00887AAD">
              <w:rPr>
                <w:rFonts w:ascii="Times New Roman" w:eastAsia="Calibri" w:hAnsi="Times New Roman" w:cs="Times New Roman"/>
                <w:color w:val="auto"/>
                <w:lang w:eastAsia="en-US" w:bidi="ar-SA"/>
              </w:rPr>
              <w:t>mahkumiyetleri</w:t>
            </w:r>
            <w:proofErr w:type="gramEnd"/>
            <w:r w:rsidRPr="00887AAD">
              <w:rPr>
                <w:rFonts w:ascii="Times New Roman" w:eastAsia="Calibri" w:hAnsi="Times New Roman" w:cs="Times New Roman"/>
                <w:color w:val="auto"/>
                <w:lang w:eastAsia="en-US" w:bidi="ar-SA"/>
              </w:rPr>
              <w:t xml:space="preserve"> halinde, aylık </w:t>
            </w:r>
            <w:r w:rsidRPr="00887AAD">
              <w:rPr>
                <w:rFonts w:ascii="Times New Roman" w:eastAsia="Times New Roman" w:hAnsi="Times New Roman" w:cs="Times New Roman"/>
                <w:color w:val="auto"/>
                <w:lang w:eastAsia="en-US" w:bidi="ar-SA"/>
              </w:rPr>
              <w:t xml:space="preserve">brüt </w:t>
            </w:r>
            <w:r w:rsidRPr="00887AAD">
              <w:rPr>
                <w:rFonts w:ascii="Times New Roman" w:eastAsia="Calibri" w:hAnsi="Times New Roman" w:cs="Times New Roman"/>
                <w:color w:val="auto"/>
                <w:lang w:eastAsia="en-US" w:bidi="ar-SA"/>
              </w:rPr>
              <w:t>asgari ücretin 5 (beş) katı tutarına kadar para cezasına veya 1 (bir) yıla kadar hapis cezasına veya her iki cezaya birden çarptırılabilirler.</w:t>
            </w:r>
          </w:p>
        </w:tc>
      </w:tr>
      <w:tr w:rsidR="00887AAD" w:rsidRPr="00887AAD" w:rsidTr="00887AAD">
        <w:tc>
          <w:tcPr>
            <w:tcW w:w="1668"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hideMark/>
          </w:tcPr>
          <w:p w:rsidR="00887AAD" w:rsidRPr="00887AAD" w:rsidRDefault="00887AAD" w:rsidP="00887AAD">
            <w:pPr>
              <w:widowControl/>
              <w:rPr>
                <w:rFonts w:ascii="Times New Roman" w:eastAsia="Times New Roman" w:hAnsi="Times New Roman" w:cs="Times New Roman"/>
                <w:color w:val="auto"/>
                <w:lang w:bidi="ar-SA"/>
              </w:rPr>
            </w:pPr>
            <w:r w:rsidRPr="00887AAD">
              <w:rPr>
                <w:rFonts w:ascii="Times New Roman" w:eastAsia="Times New Roman" w:hAnsi="Times New Roman" w:cs="Times New Roman"/>
                <w:color w:val="auto"/>
                <w:lang w:bidi="ar-SA"/>
              </w:rPr>
              <w:t xml:space="preserve"> (9)</w:t>
            </w:r>
          </w:p>
        </w:tc>
        <w:tc>
          <w:tcPr>
            <w:tcW w:w="7195" w:type="dxa"/>
            <w:gridSpan w:val="6"/>
            <w:hideMark/>
          </w:tcPr>
          <w:p w:rsidR="00887AAD" w:rsidRPr="00887AAD" w:rsidRDefault="00887AAD" w:rsidP="00887AAD">
            <w:pPr>
              <w:widowControl/>
              <w:jc w:val="both"/>
              <w:rPr>
                <w:rFonts w:ascii="Times New Roman" w:eastAsia="Calibri" w:hAnsi="Times New Roman" w:cs="Times New Roman"/>
                <w:color w:val="auto"/>
                <w:lang w:eastAsia="en-US" w:bidi="ar-SA"/>
              </w:rPr>
            </w:pPr>
            <w:r w:rsidRPr="00887AAD">
              <w:rPr>
                <w:rFonts w:ascii="Times New Roman" w:eastAsia="Calibri" w:hAnsi="Times New Roman" w:cs="Times New Roman"/>
                <w:color w:val="auto"/>
                <w:lang w:eastAsia="en-US" w:bidi="ar-SA"/>
              </w:rPr>
              <w:t>Bu maddenin (6)’</w:t>
            </w:r>
            <w:proofErr w:type="spellStart"/>
            <w:r w:rsidRPr="00887AAD">
              <w:rPr>
                <w:rFonts w:ascii="Times New Roman" w:eastAsia="Calibri" w:hAnsi="Times New Roman" w:cs="Times New Roman"/>
                <w:color w:val="auto"/>
                <w:lang w:eastAsia="en-US" w:bidi="ar-SA"/>
              </w:rPr>
              <w:t>ncı</w:t>
            </w:r>
            <w:proofErr w:type="spellEnd"/>
            <w:r w:rsidRPr="00887AAD">
              <w:rPr>
                <w:rFonts w:ascii="Times New Roman" w:eastAsia="Calibri" w:hAnsi="Times New Roman" w:cs="Times New Roman"/>
                <w:color w:val="auto"/>
                <w:lang w:eastAsia="en-US" w:bidi="ar-SA"/>
              </w:rPr>
              <w:t xml:space="preserve"> fıkrasının (A) ve (C) bentlerinde öngörülen idari para cezası ve kapatma cezası verme ile o</w:t>
            </w:r>
            <w:r w:rsidRPr="00887AAD">
              <w:rPr>
                <w:rFonts w:ascii="Times New Roman" w:eastAsia="Times New Roman" w:hAnsi="Times New Roman" w:cs="Times New Roman"/>
                <w:color w:val="auto"/>
                <w:lang w:eastAsia="en-US" w:bidi="ar-SA"/>
              </w:rPr>
              <w:t>rganizasyon ve etkinlikleri durdurma yetkisi,</w:t>
            </w:r>
            <w:r w:rsidRPr="00887AAD">
              <w:rPr>
                <w:rFonts w:ascii="Times New Roman" w:eastAsia="Calibri" w:hAnsi="Times New Roman" w:cs="Times New Roman"/>
                <w:color w:val="auto"/>
                <w:lang w:eastAsia="en-US" w:bidi="ar-SA"/>
              </w:rPr>
              <w:t xml:space="preserve"> Bakanlık ile birlikte Bakanlar Kurulu tarafından yetkilendirilmesi durumunda </w:t>
            </w:r>
            <w:r w:rsidRPr="00887AAD">
              <w:rPr>
                <w:rFonts w:ascii="Times New Roman" w:eastAsia="Times New Roman" w:hAnsi="Times New Roman" w:cs="Times New Roman"/>
                <w:color w:val="auto"/>
                <w:lang w:eastAsia="en-US" w:bidi="ar-SA"/>
              </w:rPr>
              <w:t>belediye kolluk görevlileri veya belediye sağlık personeli tarafından</w:t>
            </w:r>
            <w:r w:rsidRPr="00887AAD">
              <w:rPr>
                <w:rFonts w:ascii="Times New Roman" w:eastAsia="Calibri" w:hAnsi="Times New Roman" w:cs="Times New Roman"/>
                <w:color w:val="auto"/>
                <w:lang w:eastAsia="en-US" w:bidi="ar-SA"/>
              </w:rPr>
              <w:t xml:space="preserve"> da kullanılır.”</w:t>
            </w:r>
          </w:p>
        </w:tc>
      </w:tr>
      <w:tr w:rsidR="00887AAD" w:rsidRPr="00887AAD" w:rsidTr="00887AAD">
        <w:tc>
          <w:tcPr>
            <w:tcW w:w="1668" w:type="dxa"/>
          </w:tcPr>
          <w:p w:rsidR="00887AAD" w:rsidRPr="00887AAD" w:rsidRDefault="00887AAD" w:rsidP="00887AAD">
            <w:pPr>
              <w:widowControl/>
              <w:rPr>
                <w:rFonts w:ascii="Times New Roman" w:eastAsia="Times New Roman" w:hAnsi="Times New Roman" w:cs="Times New Roman"/>
                <w:color w:val="auto"/>
                <w:lang w:eastAsia="en-US" w:bidi="ar-SA"/>
              </w:rPr>
            </w:pPr>
          </w:p>
        </w:tc>
        <w:tc>
          <w:tcPr>
            <w:tcW w:w="283" w:type="dxa"/>
          </w:tcPr>
          <w:p w:rsidR="00887AAD" w:rsidRPr="00887AAD" w:rsidRDefault="00887AAD" w:rsidP="00887AAD">
            <w:pPr>
              <w:widowControl/>
              <w:jc w:val="both"/>
              <w:rPr>
                <w:rFonts w:ascii="Times New Roman" w:eastAsia="Times New Roman" w:hAnsi="Times New Roman" w:cs="Times New Roman"/>
                <w:color w:val="auto"/>
                <w:lang w:eastAsia="en-US" w:bidi="ar-SA"/>
              </w:rPr>
            </w:pPr>
          </w:p>
        </w:tc>
        <w:tc>
          <w:tcPr>
            <w:tcW w:w="709" w:type="dxa"/>
          </w:tcPr>
          <w:p w:rsidR="00887AAD" w:rsidRPr="00887AAD" w:rsidRDefault="00887AAD" w:rsidP="00887AAD">
            <w:pPr>
              <w:widowControl/>
              <w:rPr>
                <w:rFonts w:ascii="Times New Roman" w:eastAsia="Times New Roman" w:hAnsi="Times New Roman" w:cs="Times New Roman"/>
                <w:color w:val="auto"/>
                <w:lang w:bidi="ar-SA"/>
              </w:rPr>
            </w:pPr>
          </w:p>
        </w:tc>
        <w:tc>
          <w:tcPr>
            <w:tcW w:w="7195" w:type="dxa"/>
            <w:gridSpan w:val="6"/>
          </w:tcPr>
          <w:p w:rsidR="00887AAD" w:rsidRPr="00887AAD" w:rsidRDefault="00887AAD" w:rsidP="00887AAD">
            <w:pPr>
              <w:widowControl/>
              <w:jc w:val="both"/>
              <w:rPr>
                <w:rFonts w:ascii="Times New Roman" w:eastAsia="Times New Roman" w:hAnsi="Times New Roman" w:cs="Times New Roman"/>
                <w:color w:val="auto"/>
                <w:lang w:eastAsia="en-US" w:bidi="ar-SA"/>
              </w:rPr>
            </w:pPr>
          </w:p>
        </w:tc>
      </w:tr>
      <w:tr w:rsidR="00887AAD" w:rsidRPr="00887AAD" w:rsidTr="00887AAD">
        <w:trPr>
          <w:trHeight w:val="479"/>
        </w:trPr>
        <w:tc>
          <w:tcPr>
            <w:tcW w:w="1668" w:type="dxa"/>
            <w:hideMark/>
          </w:tcPr>
          <w:p w:rsidR="00887AAD" w:rsidRPr="00887AAD" w:rsidRDefault="00887AAD" w:rsidP="00887AAD">
            <w:pPr>
              <w:widowControl/>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Yürürlüğe Giriş</w:t>
            </w:r>
          </w:p>
        </w:tc>
        <w:tc>
          <w:tcPr>
            <w:tcW w:w="8187" w:type="dxa"/>
            <w:gridSpan w:val="8"/>
            <w:hideMark/>
          </w:tcPr>
          <w:p w:rsidR="00887AAD" w:rsidRPr="00887AAD" w:rsidRDefault="00887AAD" w:rsidP="00887AAD">
            <w:pPr>
              <w:widowControl/>
              <w:jc w:val="both"/>
              <w:rPr>
                <w:rFonts w:ascii="Times New Roman" w:eastAsia="Times New Roman" w:hAnsi="Times New Roman" w:cs="Times New Roman"/>
                <w:color w:val="auto"/>
                <w:lang w:eastAsia="en-US" w:bidi="ar-SA"/>
              </w:rPr>
            </w:pPr>
            <w:r w:rsidRPr="00887AAD">
              <w:rPr>
                <w:rFonts w:ascii="Times New Roman" w:eastAsia="Times New Roman" w:hAnsi="Times New Roman" w:cs="Times New Roman"/>
                <w:color w:val="auto"/>
                <w:lang w:eastAsia="en-US" w:bidi="ar-SA"/>
              </w:rPr>
              <w:t xml:space="preserve">4. Bu Yasa, Resmi </w:t>
            </w:r>
            <w:proofErr w:type="spellStart"/>
            <w:r w:rsidRPr="00887AAD">
              <w:rPr>
                <w:rFonts w:ascii="Times New Roman" w:eastAsia="Times New Roman" w:hAnsi="Times New Roman" w:cs="Times New Roman"/>
                <w:color w:val="auto"/>
                <w:lang w:eastAsia="en-US" w:bidi="ar-SA"/>
              </w:rPr>
              <w:t>Gazete’de</w:t>
            </w:r>
            <w:proofErr w:type="spellEnd"/>
            <w:r w:rsidRPr="00887AAD">
              <w:rPr>
                <w:rFonts w:ascii="Times New Roman" w:eastAsia="Times New Roman" w:hAnsi="Times New Roman" w:cs="Times New Roman"/>
                <w:color w:val="auto"/>
                <w:lang w:eastAsia="en-US" w:bidi="ar-SA"/>
              </w:rPr>
              <w:t xml:space="preserve"> yayımlandığı tarihten başlayarak yürürlüğe girer.</w:t>
            </w:r>
          </w:p>
        </w:tc>
      </w:tr>
    </w:tbl>
    <w:p w:rsidR="00887AAD" w:rsidRPr="00887AAD" w:rsidRDefault="00887AAD" w:rsidP="00887AAD">
      <w:pPr>
        <w:widowControl/>
        <w:spacing w:after="200" w:line="276" w:lineRule="auto"/>
        <w:rPr>
          <w:rFonts w:asciiTheme="minorHAnsi" w:eastAsiaTheme="minorHAnsi" w:hAnsiTheme="minorHAnsi" w:cstheme="minorBidi"/>
          <w:color w:val="auto"/>
          <w:sz w:val="22"/>
          <w:szCs w:val="22"/>
          <w:lang w:val="en-US" w:eastAsia="en-US" w:bidi="ar-SA"/>
        </w:rPr>
      </w:pPr>
    </w:p>
    <w:p w:rsidR="00C234DF" w:rsidRDefault="00C234DF" w:rsidP="00D42CB9">
      <w:pPr>
        <w:widowControl/>
        <w:jc w:val="center"/>
        <w:rPr>
          <w:rFonts w:ascii="Times New Roman" w:eastAsia="Times New Roman" w:hAnsi="Times New Roman" w:cs="Times New Roman"/>
          <w:color w:val="auto"/>
          <w:lang w:bidi="ar-SA"/>
        </w:rPr>
      </w:pPr>
    </w:p>
    <w:p w:rsidR="002075AB" w:rsidRDefault="002075AB"/>
    <w:sectPr w:rsidR="002075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B9"/>
    <w:rsid w:val="00096C29"/>
    <w:rsid w:val="001E2B0D"/>
    <w:rsid w:val="002075AB"/>
    <w:rsid w:val="003B3247"/>
    <w:rsid w:val="007D0DE4"/>
    <w:rsid w:val="00887AAD"/>
    <w:rsid w:val="009945F9"/>
    <w:rsid w:val="00C234DF"/>
    <w:rsid w:val="00C509C5"/>
    <w:rsid w:val="00D4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CB9"/>
    <w:pPr>
      <w:widowControl w:val="0"/>
      <w:spacing w:after="0" w:line="240" w:lineRule="auto"/>
    </w:pPr>
    <w:rPr>
      <w:rFonts w:ascii="Arial Unicode MS" w:eastAsia="Arial Unicode MS" w:hAnsi="Arial Unicode MS" w:cs="Arial Unicode MS"/>
      <w:color w:val="000000"/>
      <w:sz w:val="24"/>
      <w:szCs w:val="24"/>
      <w:lang w:val="tr-TR"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D42CB9"/>
    <w:pPr>
      <w:spacing w:after="0" w:line="240" w:lineRule="auto"/>
    </w:pPr>
    <w:rPr>
      <w:rFonts w:ascii="Calibri" w:eastAsia="Times New Roman" w:hAnsi="Calibri" w:cs="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efaultParagraphFont"/>
    <w:link w:val="Bodytext20"/>
    <w:rsid w:val="00D42CB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42CB9"/>
    <w:pPr>
      <w:shd w:val="clear" w:color="auto" w:fill="FFFFFF"/>
      <w:spacing w:after="60" w:line="0" w:lineRule="atLeast"/>
      <w:ind w:hanging="1080"/>
      <w:jc w:val="center"/>
    </w:pPr>
    <w:rPr>
      <w:rFonts w:ascii="Times New Roman" w:eastAsia="Times New Roman" w:hAnsi="Times New Roman" w:cs="Times New Roman"/>
      <w:color w:val="auto"/>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CB9"/>
    <w:pPr>
      <w:widowControl w:val="0"/>
      <w:spacing w:after="0" w:line="240" w:lineRule="auto"/>
    </w:pPr>
    <w:rPr>
      <w:rFonts w:ascii="Arial Unicode MS" w:eastAsia="Arial Unicode MS" w:hAnsi="Arial Unicode MS" w:cs="Arial Unicode MS"/>
      <w:color w:val="000000"/>
      <w:sz w:val="24"/>
      <w:szCs w:val="24"/>
      <w:lang w:val="tr-TR"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D42CB9"/>
    <w:pPr>
      <w:spacing w:after="0" w:line="240" w:lineRule="auto"/>
    </w:pPr>
    <w:rPr>
      <w:rFonts w:ascii="Calibri" w:eastAsia="Times New Roman" w:hAnsi="Calibri" w:cs="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efaultParagraphFont"/>
    <w:link w:val="Bodytext20"/>
    <w:rsid w:val="00D42CB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42CB9"/>
    <w:pPr>
      <w:shd w:val="clear" w:color="auto" w:fill="FFFFFF"/>
      <w:spacing w:after="60" w:line="0" w:lineRule="atLeast"/>
      <w:ind w:hanging="1080"/>
      <w:jc w:val="center"/>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guliz.avkan</dc:creator>
  <cp:lastModifiedBy>guliz.avkan</cp:lastModifiedBy>
  <cp:revision>9</cp:revision>
  <dcterms:created xsi:type="dcterms:W3CDTF">2019-12-14T00:12:00Z</dcterms:created>
  <dcterms:modified xsi:type="dcterms:W3CDTF">2020-09-22T20:19:00Z</dcterms:modified>
</cp:coreProperties>
</file>