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0" w:rsidRPr="00126C10" w:rsidRDefault="00126C10" w:rsidP="00126C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10">
        <w:rPr>
          <w:rFonts w:ascii="Times New Roman" w:eastAsia="Times New Roman" w:hAnsi="Times New Roman" w:cs="Times New Roman"/>
          <w:sz w:val="24"/>
          <w:szCs w:val="24"/>
        </w:rPr>
        <w:t>Kuzey Kıbrıs Türk Cumhuriyeti Cumhuriyet Meclisi’nin 25 Ağustos 2023 tarihli Altıncı Olağanüstü Birleşiminde Oybirliğiyle kabul olunan “</w:t>
      </w:r>
      <w:r>
        <w:rPr>
          <w:rFonts w:ascii="Times New Roman" w:eastAsia="Times New Roman" w:hAnsi="Times New Roman" w:cs="Times New Roman"/>
          <w:sz w:val="24"/>
          <w:szCs w:val="24"/>
        </w:rPr>
        <w:t>Aile (Evlenme ve Boşanma) (Değişiklik</w:t>
      </w:r>
      <w:r w:rsidRPr="00126C10">
        <w:rPr>
          <w:rFonts w:ascii="Times New Roman" w:eastAsia="Times New Roman" w:hAnsi="Times New Roman" w:cs="Times New Roman"/>
          <w:sz w:val="24"/>
          <w:szCs w:val="24"/>
        </w:rPr>
        <w:t xml:space="preserve">)  Yasası” Anayasanın 94'üncü maddesinin (1)'inci fıkrası gereğince Kuzey Kıbrıs Türk Cumhuriyeti Cumhurbaşkanı tarafından Resmi </w:t>
      </w:r>
      <w:proofErr w:type="spellStart"/>
      <w:r w:rsidRPr="00126C10">
        <w:rPr>
          <w:rFonts w:ascii="Times New Roman" w:eastAsia="Times New Roman" w:hAnsi="Times New Roman" w:cs="Times New Roman"/>
          <w:sz w:val="24"/>
          <w:szCs w:val="24"/>
        </w:rPr>
        <w:t>Gazete'de</w:t>
      </w:r>
      <w:proofErr w:type="spellEnd"/>
      <w:r w:rsidRPr="00126C10">
        <w:rPr>
          <w:rFonts w:ascii="Times New Roman" w:eastAsia="Times New Roman" w:hAnsi="Times New Roman" w:cs="Times New Roman"/>
          <w:sz w:val="24"/>
          <w:szCs w:val="24"/>
        </w:rPr>
        <w:t xml:space="preserve"> yayı</w:t>
      </w:r>
      <w:r>
        <w:rPr>
          <w:rFonts w:ascii="Times New Roman" w:eastAsia="Times New Roman" w:hAnsi="Times New Roman" w:cs="Times New Roman"/>
          <w:sz w:val="24"/>
          <w:szCs w:val="24"/>
        </w:rPr>
        <w:t>mlanmak suretiyle ilan olunur.</w:t>
      </w:r>
    </w:p>
    <w:p w:rsidR="00126C10" w:rsidRPr="00126C10" w:rsidRDefault="00126C10" w:rsidP="00126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C10" w:rsidRPr="00126C10" w:rsidRDefault="00126C10" w:rsidP="00126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C10">
        <w:rPr>
          <w:rFonts w:ascii="Times New Roman" w:eastAsia="Times New Roman" w:hAnsi="Times New Roman" w:cs="Times New Roman"/>
          <w:sz w:val="24"/>
          <w:szCs w:val="24"/>
        </w:rPr>
        <w:t>Sayı: 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6C1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126C10" w:rsidRPr="00EB1C17" w:rsidRDefault="00126C10" w:rsidP="00EB1C17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6"/>
        <w:gridCol w:w="708"/>
        <w:gridCol w:w="567"/>
        <w:gridCol w:w="5529"/>
      </w:tblGrid>
      <w:tr w:rsidR="00EB1C17" w:rsidTr="000C3A91">
        <w:tc>
          <w:tcPr>
            <w:tcW w:w="9073" w:type="dxa"/>
            <w:gridSpan w:val="5"/>
          </w:tcPr>
          <w:p w:rsidR="00EB1C17" w:rsidRDefault="00EB1C17" w:rsidP="00EB1C17">
            <w:pPr>
              <w:jc w:val="center"/>
              <w:rPr>
                <w:rFonts w:cs="Times New Roman"/>
              </w:rPr>
            </w:pPr>
            <w:r w:rsidRPr="00EB1C17">
              <w:rPr>
                <w:rFonts w:cs="Times New Roman"/>
              </w:rPr>
              <w:t>AİLE (EVLENME VE BO</w:t>
            </w:r>
            <w:r w:rsidR="00455067">
              <w:rPr>
                <w:rFonts w:cs="Times New Roman"/>
              </w:rPr>
              <w:t>ŞANMA) (DEĞİŞİKLİK) YASASI</w:t>
            </w:r>
          </w:p>
          <w:p w:rsidR="00EB1C17" w:rsidRPr="00EB1C17" w:rsidRDefault="00EB1C17" w:rsidP="00EB1C17">
            <w:pPr>
              <w:jc w:val="center"/>
              <w:rPr>
                <w:rFonts w:cs="Times New Roman"/>
              </w:rPr>
            </w:pPr>
          </w:p>
        </w:tc>
      </w:tr>
      <w:tr w:rsidR="00EB1C17" w:rsidTr="00EB1C17">
        <w:tc>
          <w:tcPr>
            <w:tcW w:w="1843" w:type="dxa"/>
          </w:tcPr>
          <w:p w:rsidR="00EB1C17" w:rsidRDefault="00EB1C17" w:rsidP="00EB1C17">
            <w:pPr>
              <w:widowControl w:val="0"/>
              <w:rPr>
                <w:rFonts w:eastAsia="Arial" w:cs="Times New Roman"/>
                <w:color w:val="000000"/>
              </w:rPr>
            </w:pPr>
          </w:p>
        </w:tc>
        <w:tc>
          <w:tcPr>
            <w:tcW w:w="7230" w:type="dxa"/>
            <w:gridSpan w:val="4"/>
          </w:tcPr>
          <w:p w:rsidR="00EB1C17" w:rsidRDefault="00EB1C17" w:rsidP="00EB1C17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Pr="00EB1C17">
              <w:rPr>
                <w:rFonts w:cs="Times New Roman"/>
              </w:rPr>
              <w:t>Kuzey Kıbrıs Türk Cumhuriyeti Cumhuriyet Meclisi aşağıdaki Yasayı yapar:</w:t>
            </w:r>
          </w:p>
          <w:p w:rsidR="00EB1C17" w:rsidRDefault="00EB1C17" w:rsidP="00EB1C17">
            <w:pPr>
              <w:widowControl w:val="0"/>
              <w:rPr>
                <w:rFonts w:cs="Times New Roman"/>
              </w:rPr>
            </w:pP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Kısa İsim</w:t>
            </w:r>
          </w:p>
          <w:p w:rsidR="00EB1C17" w:rsidRPr="00EB1C17" w:rsidRDefault="00EB1C17" w:rsidP="00037BCE">
            <w:pPr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1/1998</w:t>
            </w:r>
          </w:p>
          <w:p w:rsidR="00EB1C17" w:rsidRPr="00EB1C17" w:rsidRDefault="00441C1D" w:rsidP="00037BC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EB1C17" w:rsidRPr="00EB1C17">
              <w:rPr>
                <w:rFonts w:eastAsia="Times New Roman" w:cs="Times New Roman"/>
              </w:rPr>
              <w:t>34/2015</w:t>
            </w:r>
          </w:p>
          <w:p w:rsidR="00EB1C17" w:rsidRPr="00EB1C17" w:rsidRDefault="00164F05" w:rsidP="00037BC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441C1D">
              <w:rPr>
                <w:rFonts w:eastAsia="Times New Roman" w:cs="Times New Roman"/>
              </w:rPr>
              <w:t xml:space="preserve">  </w:t>
            </w:r>
            <w:r w:rsidR="00EB1C17" w:rsidRPr="00EB1C17">
              <w:rPr>
                <w:rFonts w:eastAsia="Times New Roman" w:cs="Times New Roman"/>
              </w:rPr>
              <w:t>5/2019</w:t>
            </w:r>
          </w:p>
        </w:tc>
        <w:tc>
          <w:tcPr>
            <w:tcW w:w="7230" w:type="dxa"/>
            <w:gridSpan w:val="4"/>
          </w:tcPr>
          <w:p w:rsidR="00EB1C17" w:rsidRDefault="00EB1C17" w:rsidP="00EB1C17">
            <w:pPr>
              <w:widowControl w:val="0"/>
              <w:jc w:val="both"/>
              <w:rPr>
                <w:rFonts w:cs="Times New Roman"/>
              </w:rPr>
            </w:pPr>
            <w:r w:rsidRPr="00EB1C17">
              <w:rPr>
                <w:rFonts w:eastAsia="Times New Roman" w:cs="Times New Roman"/>
              </w:rPr>
              <w:t>1. Bu Yasa Aile (Evlenme ve Boşanma) (Değişiklik) Yasası olarak isimlendirilir ve aşağıda “Esas Yasa” olarak anılan Aile (Evlenme ve Boşanma) Yasası ile birlikte okunur.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7230" w:type="dxa"/>
            <w:gridSpan w:val="4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Esas Yasanın 35’inci Maddesinin Değiştirilmesi</w:t>
            </w:r>
          </w:p>
        </w:tc>
        <w:tc>
          <w:tcPr>
            <w:tcW w:w="7230" w:type="dxa"/>
            <w:gridSpan w:val="4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2.</w:t>
            </w:r>
            <w:r>
              <w:rPr>
                <w:rFonts w:eastAsia="Times New Roman" w:cs="Times New Roman"/>
              </w:rPr>
              <w:t xml:space="preserve"> </w:t>
            </w:r>
            <w:r w:rsidRPr="00EB1C17">
              <w:rPr>
                <w:rFonts w:eastAsia="Times New Roman" w:cs="Times New Roman"/>
              </w:rPr>
              <w:t xml:space="preserve">Esas Yasa, 35’inci maddesinin (3)’üncü ve (4)’üncü fıkraları kaldırılmak ve yerlerine </w:t>
            </w:r>
            <w:r w:rsidR="00441C1D">
              <w:rPr>
                <w:rFonts w:eastAsia="Times New Roman" w:cs="Times New Roman"/>
              </w:rPr>
              <w:t xml:space="preserve">sırasıyla </w:t>
            </w:r>
            <w:r w:rsidRPr="00EB1C17">
              <w:rPr>
                <w:rFonts w:eastAsia="Times New Roman" w:cs="Times New Roman"/>
              </w:rPr>
              <w:t>aşağıdaki yeni (3)’üncü ve (4)’üncü fıkralar konmak suretiyle değiştirilir: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“(3)</w:t>
            </w: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(a)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Çocuklara hangi ebeveynin soyadının verileceği konusunda tarafların uzlaşmaları halinde, çocuklara o ebeveynin soyadını verebilirler veya taraflar anlaşarak önce ana sonra baba soyadı olmak üzere her iki soyadını çocuklara verebilirler.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(b)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Çocuklara verilecek soyadı konusunda taraflar arasında bir uzlaşı olmaması halinde, çocuklara önce ana sonra baba soyadı olmak üzere her iki soyadı verilir.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(c)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Yukarıdaki (a) veya (b) fıkraları uyarınca tarafların ilk çocukları için belirlenmiş olan soyadı, daha sonra doğan çocuklar için de geçerli soyadı olur.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(4)</w:t>
            </w: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(a)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Bir çocuğun ebeveyninin birden fazla soyadı olması durumunda, her bir ebeveyn kendi seçeceği bir soyadını çocuğa verebilir. Her çocuğun en fazla iki soyadı olabilir.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(b)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 xml:space="preserve">Çocuklar için doğum belgesi, kimlik, pasaport ve benzeri resmi evraklar düzenlenirken, bekârlık soyadını çocuğa vermemiş olan ebeveynin bekârlık soyadı, talep etmesi halinde, çocuğun bu belgelerdeki ebeveyn hanesinde belirtilir.  </w:t>
            </w:r>
          </w:p>
        </w:tc>
      </w:tr>
      <w:tr w:rsidR="00EB1C17" w:rsidTr="00EB1C17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</w:p>
        </w:tc>
        <w:tc>
          <w:tcPr>
            <w:tcW w:w="426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EB1C17" w:rsidRPr="00EB1C17" w:rsidRDefault="00EB1C17" w:rsidP="00421E00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67" w:type="dxa"/>
          </w:tcPr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(c)</w:t>
            </w:r>
          </w:p>
        </w:tc>
        <w:tc>
          <w:tcPr>
            <w:tcW w:w="5529" w:type="dxa"/>
          </w:tcPr>
          <w:p w:rsidR="00EB1C17" w:rsidRPr="00EB1C17" w:rsidRDefault="00EB1C17" w:rsidP="00EB1C17">
            <w:pPr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Çocukların soyadlarıyla ilgili tarafların yapacakları uzlaşıya ilişkin beyannameler, Nüfus Kayıt Dairesi tarafından önceden belirlenmiş form şeklinde düzenlenir.”</w:t>
            </w:r>
          </w:p>
          <w:p w:rsidR="00EB1C17" w:rsidRPr="00EB1C17" w:rsidRDefault="00EB1C17" w:rsidP="00EB1C1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EB1C17" w:rsidTr="00651589">
        <w:tc>
          <w:tcPr>
            <w:tcW w:w="1843" w:type="dxa"/>
          </w:tcPr>
          <w:p w:rsidR="00EB1C17" w:rsidRDefault="00EB1C17" w:rsidP="00037BCE">
            <w:pPr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Geçici Madde</w:t>
            </w:r>
          </w:p>
          <w:p w:rsidR="00EB1C17" w:rsidRPr="00EB1C17" w:rsidRDefault="00EB1C17" w:rsidP="00037BC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Kardeşlere Aynı Soyadının Verilmesi</w:t>
            </w:r>
          </w:p>
        </w:tc>
        <w:tc>
          <w:tcPr>
            <w:tcW w:w="7230" w:type="dxa"/>
            <w:gridSpan w:val="4"/>
          </w:tcPr>
          <w:p w:rsidR="00EB1C17" w:rsidRPr="00EB1C17" w:rsidRDefault="00EB1C17" w:rsidP="00EB1C17">
            <w:pPr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 xml:space="preserve">1. </w:t>
            </w:r>
            <w:r>
              <w:rPr>
                <w:rFonts w:eastAsia="Times New Roman" w:cs="Times New Roman"/>
              </w:rPr>
              <w:t xml:space="preserve"> </w:t>
            </w:r>
            <w:r w:rsidRPr="00EB1C17">
              <w:rPr>
                <w:rFonts w:eastAsia="Times New Roman" w:cs="Times New Roman"/>
              </w:rPr>
              <w:t xml:space="preserve">Bu Yasanın yürürlüğe </w:t>
            </w:r>
            <w:r w:rsidR="00441C1D">
              <w:rPr>
                <w:rFonts w:eastAsia="Times New Roman" w:cs="Times New Roman"/>
              </w:rPr>
              <w:t>girdiği tarihten</w:t>
            </w:r>
            <w:r w:rsidRPr="00EB1C17">
              <w:rPr>
                <w:rFonts w:eastAsia="Times New Roman" w:cs="Times New Roman"/>
              </w:rPr>
              <w:t xml:space="preserve"> önce doğan birden fazla çocuğuna farklı soyadları kaydettirmiş olan anne ve baba birlikte; eşlerin boşanmış olması halinde ise velayeti elinde bulunduran taraf, 31/12/2024 tarihine kadar, çocukların tümüne aynı soyadını kaydettirmek yönünde düzeltme yaptırabilir. </w:t>
            </w:r>
          </w:p>
          <w:p w:rsidR="00EB1C17" w:rsidRPr="00EB1C17" w:rsidRDefault="00EB1C17" w:rsidP="00EB1C17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441C1D" w:rsidRDefault="00441C1D">
      <w:bookmarkStart w:id="0" w:name="_GoBack"/>
      <w:bookmarkEnd w:id="0"/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EB1C17" w:rsidTr="00651589">
        <w:tc>
          <w:tcPr>
            <w:tcW w:w="1843" w:type="dxa"/>
          </w:tcPr>
          <w:p w:rsidR="00EB1C17" w:rsidRPr="00EB1C17" w:rsidRDefault="00EB1C17" w:rsidP="00EB1C17">
            <w:pPr>
              <w:rPr>
                <w:rFonts w:cs="Times New Roman"/>
              </w:rPr>
            </w:pPr>
            <w:r w:rsidRPr="00EB1C17">
              <w:rPr>
                <w:rFonts w:cs="Times New Roman"/>
              </w:rPr>
              <w:t>Geçici Madde</w:t>
            </w:r>
          </w:p>
          <w:p w:rsidR="00EB1C17" w:rsidRDefault="00EB1C17" w:rsidP="00EB1C17">
            <w:pPr>
              <w:rPr>
                <w:rFonts w:eastAsia="Calibri" w:cs="Times New Roman"/>
              </w:rPr>
            </w:pPr>
            <w:r w:rsidRPr="00EB1C17">
              <w:rPr>
                <w:rFonts w:eastAsia="Calibri" w:cs="Times New Roman"/>
              </w:rPr>
              <w:t>Çocuğa Soyadını Vermek Amacıyla Eşinin Soyadını Alan  Kişilerin Bek</w:t>
            </w:r>
            <w:r w:rsidR="00441C1D">
              <w:rPr>
                <w:rFonts w:eastAsia="Calibri" w:cs="Times New Roman"/>
              </w:rPr>
              <w:t>a</w:t>
            </w:r>
            <w:r w:rsidRPr="00EB1C17">
              <w:rPr>
                <w:rFonts w:eastAsia="Calibri" w:cs="Times New Roman"/>
              </w:rPr>
              <w:t>rlık Soyadına Dönebilmesi</w:t>
            </w:r>
          </w:p>
          <w:p w:rsidR="00EB1C17" w:rsidRPr="00EB1C17" w:rsidRDefault="00EB1C17" w:rsidP="00EB1C17">
            <w:pPr>
              <w:rPr>
                <w:rFonts w:eastAsia="Times New Roman" w:cs="Times New Roman"/>
              </w:rPr>
            </w:pPr>
          </w:p>
        </w:tc>
        <w:tc>
          <w:tcPr>
            <w:tcW w:w="7230" w:type="dxa"/>
          </w:tcPr>
          <w:p w:rsidR="00EB1C17" w:rsidRPr="00EB1C17" w:rsidRDefault="00EB1C17" w:rsidP="00441C1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2. </w:t>
            </w:r>
            <w:r w:rsidRPr="00EB1C17">
              <w:rPr>
                <w:rFonts w:eastAsia="Calibri" w:cs="Times New Roman"/>
                <w:sz w:val="26"/>
                <w:szCs w:val="26"/>
              </w:rPr>
              <w:t xml:space="preserve">Bu Yasanın yürürlüğe </w:t>
            </w:r>
            <w:r w:rsidR="00441C1D">
              <w:rPr>
                <w:rFonts w:eastAsia="Calibri" w:cs="Times New Roman"/>
                <w:sz w:val="26"/>
                <w:szCs w:val="26"/>
              </w:rPr>
              <w:t>girdiği tarihten</w:t>
            </w:r>
            <w:r w:rsidRPr="00EB1C17">
              <w:rPr>
                <w:rFonts w:eastAsia="Calibri" w:cs="Times New Roman"/>
                <w:sz w:val="26"/>
                <w:szCs w:val="26"/>
              </w:rPr>
              <w:t xml:space="preserve"> önce, çocuğuna tek ebeveynin soyadını verebilmek amacıyla eşinin soyadını almış olan kişi, 31/12/2024 tarihine kadar, yeniden bek</w:t>
            </w:r>
            <w:r w:rsidR="00441C1D">
              <w:rPr>
                <w:rFonts w:eastAsia="Calibri" w:cs="Times New Roman"/>
                <w:sz w:val="26"/>
                <w:szCs w:val="26"/>
              </w:rPr>
              <w:t>a</w:t>
            </w:r>
            <w:r w:rsidRPr="00EB1C17">
              <w:rPr>
                <w:rFonts w:eastAsia="Calibri" w:cs="Times New Roman"/>
                <w:sz w:val="26"/>
                <w:szCs w:val="26"/>
              </w:rPr>
              <w:t>rlık soyadını kaydettirme hakkına sahiptir.</w:t>
            </w:r>
          </w:p>
        </w:tc>
      </w:tr>
      <w:tr w:rsidR="00EB1C17" w:rsidTr="00651589">
        <w:tc>
          <w:tcPr>
            <w:tcW w:w="1843" w:type="dxa"/>
          </w:tcPr>
          <w:p w:rsidR="00EB1C17" w:rsidRPr="00EB1C17" w:rsidRDefault="00EB1C17" w:rsidP="00037BCE">
            <w:pPr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Yürürlüğe Giriş</w:t>
            </w:r>
          </w:p>
        </w:tc>
        <w:tc>
          <w:tcPr>
            <w:tcW w:w="7230" w:type="dxa"/>
          </w:tcPr>
          <w:p w:rsidR="00EB1C17" w:rsidRPr="00EB1C17" w:rsidRDefault="00EB1C17" w:rsidP="00EB1C17">
            <w:pPr>
              <w:jc w:val="both"/>
              <w:rPr>
                <w:rFonts w:eastAsia="Times New Roman" w:cs="Times New Roman"/>
              </w:rPr>
            </w:pPr>
            <w:r w:rsidRPr="00EB1C17">
              <w:rPr>
                <w:rFonts w:eastAsia="Times New Roman" w:cs="Times New Roman"/>
              </w:rPr>
              <w:t>3. Bu Yasa, Resmî Gazete’de yayımlandığı tarihten başlayarak yürürlüğe girer.</w:t>
            </w:r>
          </w:p>
        </w:tc>
      </w:tr>
    </w:tbl>
    <w:p w:rsidR="006247EC" w:rsidRPr="00EB1C17" w:rsidRDefault="006247EC" w:rsidP="00EB1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EC" w:rsidRPr="00EB1C17" w:rsidRDefault="006247EC" w:rsidP="00EB1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47EC" w:rsidRPr="00EB1C17" w:rsidSect="0087027A">
      <w:footerReference w:type="default" r:id="rId8"/>
      <w:pgSz w:w="11906" w:h="16838"/>
      <w:pgMar w:top="1135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11" w:rsidRDefault="00A40911" w:rsidP="0087027A">
      <w:r>
        <w:separator/>
      </w:r>
    </w:p>
  </w:endnote>
  <w:endnote w:type="continuationSeparator" w:id="0">
    <w:p w:rsidR="00A40911" w:rsidRDefault="00A40911" w:rsidP="0087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8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27A" w:rsidRDefault="0087027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27A" w:rsidRDefault="008702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11" w:rsidRDefault="00A40911" w:rsidP="0087027A">
      <w:r>
        <w:separator/>
      </w:r>
    </w:p>
  </w:footnote>
  <w:footnote w:type="continuationSeparator" w:id="0">
    <w:p w:rsidR="00A40911" w:rsidRDefault="00A40911" w:rsidP="0087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98B"/>
    <w:multiLevelType w:val="hybridMultilevel"/>
    <w:tmpl w:val="1F4AD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65F"/>
    <w:rsid w:val="00061020"/>
    <w:rsid w:val="001176C4"/>
    <w:rsid w:val="00126C10"/>
    <w:rsid w:val="00164F05"/>
    <w:rsid w:val="0019677C"/>
    <w:rsid w:val="001E0268"/>
    <w:rsid w:val="0027202A"/>
    <w:rsid w:val="00376851"/>
    <w:rsid w:val="00441C1D"/>
    <w:rsid w:val="00455067"/>
    <w:rsid w:val="0055711E"/>
    <w:rsid w:val="005C2514"/>
    <w:rsid w:val="006176F4"/>
    <w:rsid w:val="006247EC"/>
    <w:rsid w:val="00636D98"/>
    <w:rsid w:val="006817E8"/>
    <w:rsid w:val="006D7E98"/>
    <w:rsid w:val="006E4FE8"/>
    <w:rsid w:val="007D064A"/>
    <w:rsid w:val="007D58C2"/>
    <w:rsid w:val="007F56DE"/>
    <w:rsid w:val="007F6B6A"/>
    <w:rsid w:val="0082465F"/>
    <w:rsid w:val="008421A6"/>
    <w:rsid w:val="00862DF6"/>
    <w:rsid w:val="0087027A"/>
    <w:rsid w:val="009632F0"/>
    <w:rsid w:val="00973516"/>
    <w:rsid w:val="009A702E"/>
    <w:rsid w:val="009A742F"/>
    <w:rsid w:val="00A40911"/>
    <w:rsid w:val="00AC34EF"/>
    <w:rsid w:val="00BC76F2"/>
    <w:rsid w:val="00C50C16"/>
    <w:rsid w:val="00CF0A06"/>
    <w:rsid w:val="00D14142"/>
    <w:rsid w:val="00E03F93"/>
    <w:rsid w:val="00E479FD"/>
    <w:rsid w:val="00E6579A"/>
    <w:rsid w:val="00EB1C17"/>
    <w:rsid w:val="00EB3F4F"/>
    <w:rsid w:val="00F30534"/>
    <w:rsid w:val="00F44A42"/>
    <w:rsid w:val="00FD562D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C50C16"/>
    <w:rPr>
      <w:rFonts w:ascii="Times New Roman" w:eastAsiaTheme="minorHAnsi" w:hAnsi="Times New Roman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17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02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027A"/>
  </w:style>
  <w:style w:type="paragraph" w:styleId="Altbilgi">
    <w:name w:val="footer"/>
    <w:basedOn w:val="Normal"/>
    <w:link w:val="AltbilgiChar"/>
    <w:uiPriority w:val="99"/>
    <w:unhideWhenUsed/>
    <w:rsid w:val="008702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C50C16"/>
    <w:rPr>
      <w:rFonts w:ascii="Times New Roman" w:eastAsiaTheme="minorHAnsi" w:hAnsi="Times New Roman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17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02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027A"/>
  </w:style>
  <w:style w:type="paragraph" w:styleId="Altbilgi">
    <w:name w:val="footer"/>
    <w:basedOn w:val="Normal"/>
    <w:link w:val="AltbilgiChar"/>
    <w:uiPriority w:val="99"/>
    <w:unhideWhenUsed/>
    <w:rsid w:val="008702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 Şansal</dc:creator>
  <cp:lastModifiedBy>Gürkan Artun</cp:lastModifiedBy>
  <cp:revision>3</cp:revision>
  <cp:lastPrinted>2023-08-28T06:24:00Z</cp:lastPrinted>
  <dcterms:created xsi:type="dcterms:W3CDTF">2023-09-05T06:59:00Z</dcterms:created>
  <dcterms:modified xsi:type="dcterms:W3CDTF">2023-09-05T07:03:00Z</dcterms:modified>
</cp:coreProperties>
</file>