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837" w:rsidRPr="008E3837" w:rsidRDefault="008E3837" w:rsidP="008E3837">
      <w:pPr>
        <w:spacing w:after="160" w:line="259" w:lineRule="auto"/>
        <w:jc w:val="both"/>
      </w:pPr>
      <w:r w:rsidRPr="008E3837">
        <w:t xml:space="preserve">Kuzey Kıbrıs Türk Cumhuriyeti Cumhuriyet Meclisi’nin </w:t>
      </w:r>
      <w:r>
        <w:t>6</w:t>
      </w:r>
      <w:r w:rsidRPr="008E3837">
        <w:t xml:space="preserve"> Mart 2023 tarihli Otuz</w:t>
      </w:r>
      <w:r>
        <w:t>üçüncü</w:t>
      </w:r>
      <w:r w:rsidRPr="008E3837">
        <w:t xml:space="preserve"> Birleşiminde Oybirliğiyle kabul olunan “Kamu Sağlık Çalışanları (Değişiklik) Yasası” Anayasanın 94'üncü maddesinin (1)'inci fıkrası gereğince Kuzey Kıbrıs Türk Cumhuriyeti Cumhurbaşkanı tarafından Resmi Gazete'de yayımlanmak suretiyle ilan olunur.</w:t>
      </w:r>
    </w:p>
    <w:p w:rsidR="008E3837" w:rsidRPr="008E3837" w:rsidRDefault="008E3837" w:rsidP="008E3837">
      <w:pPr>
        <w:spacing w:after="160" w:line="259" w:lineRule="auto"/>
      </w:pPr>
    </w:p>
    <w:p w:rsidR="008E3837" w:rsidRPr="008E3837" w:rsidRDefault="008E3837" w:rsidP="008E3837">
      <w:pPr>
        <w:spacing w:after="160" w:line="259" w:lineRule="auto"/>
        <w:jc w:val="center"/>
      </w:pPr>
      <w:r w:rsidRPr="008E3837">
        <w:t xml:space="preserve">Sayı: </w:t>
      </w:r>
      <w:r>
        <w:t>7</w:t>
      </w:r>
      <w:bookmarkStart w:id="0" w:name="_GoBack"/>
      <w:bookmarkEnd w:id="0"/>
      <w:r w:rsidRPr="008E3837">
        <w:t>/2023</w:t>
      </w:r>
    </w:p>
    <w:p w:rsidR="005E33D7" w:rsidRDefault="005E33D7">
      <w:pPr>
        <w:spacing w:after="160" w:line="259" w:lineRule="auto"/>
      </w:pPr>
    </w:p>
    <w:tbl>
      <w:tblPr>
        <w:tblW w:w="9502" w:type="dxa"/>
        <w:tblInd w:w="-34" w:type="dxa"/>
        <w:tblLook w:val="04A0" w:firstRow="1" w:lastRow="0" w:firstColumn="1" w:lastColumn="0" w:noHBand="0" w:noVBand="1"/>
      </w:tblPr>
      <w:tblGrid>
        <w:gridCol w:w="1627"/>
        <w:gridCol w:w="495"/>
        <w:gridCol w:w="630"/>
        <w:gridCol w:w="630"/>
        <w:gridCol w:w="450"/>
        <w:gridCol w:w="720"/>
        <w:gridCol w:w="540"/>
        <w:gridCol w:w="4410"/>
      </w:tblGrid>
      <w:tr w:rsidR="005E33D7" w:rsidRPr="00A965E0" w:rsidTr="001778F1">
        <w:tc>
          <w:tcPr>
            <w:tcW w:w="9502" w:type="dxa"/>
            <w:gridSpan w:val="8"/>
            <w:shd w:val="clear" w:color="auto" w:fill="auto"/>
          </w:tcPr>
          <w:p w:rsidR="001778F1" w:rsidRPr="000334A3" w:rsidRDefault="005E33D7" w:rsidP="00BA5CF9">
            <w:pPr>
              <w:jc w:val="center"/>
            </w:pPr>
            <w:r w:rsidRPr="000334A3">
              <w:t>KAMU SAĞLIK ÇALIŞANLARI  (DEĞİŞİKLİK) YASASI</w:t>
            </w:r>
          </w:p>
        </w:tc>
      </w:tr>
      <w:tr w:rsidR="005E33D7" w:rsidRPr="00B935F9" w:rsidTr="001778F1">
        <w:tc>
          <w:tcPr>
            <w:tcW w:w="9502" w:type="dxa"/>
            <w:gridSpan w:val="8"/>
            <w:shd w:val="clear" w:color="auto" w:fill="auto"/>
          </w:tcPr>
          <w:p w:rsidR="005E33D7" w:rsidRPr="00B935F9" w:rsidRDefault="005E33D7" w:rsidP="001778F1">
            <w:pPr>
              <w:jc w:val="both"/>
            </w:pPr>
          </w:p>
        </w:tc>
      </w:tr>
      <w:tr w:rsidR="001778F1" w:rsidRPr="00B935F9" w:rsidTr="001778F1">
        <w:tc>
          <w:tcPr>
            <w:tcW w:w="1627" w:type="dxa"/>
            <w:shd w:val="clear" w:color="auto" w:fill="auto"/>
          </w:tcPr>
          <w:p w:rsidR="001778F1" w:rsidRPr="00B935F9" w:rsidRDefault="001778F1" w:rsidP="001778F1">
            <w:pPr>
              <w:jc w:val="both"/>
            </w:pPr>
          </w:p>
        </w:tc>
        <w:tc>
          <w:tcPr>
            <w:tcW w:w="7875" w:type="dxa"/>
            <w:gridSpan w:val="7"/>
            <w:shd w:val="clear" w:color="auto" w:fill="auto"/>
          </w:tcPr>
          <w:p w:rsidR="001778F1" w:rsidRPr="00B935F9" w:rsidRDefault="001778F1" w:rsidP="001778F1">
            <w:pPr>
              <w:jc w:val="both"/>
            </w:pPr>
            <w:r w:rsidRPr="001778F1">
              <w:t xml:space="preserve">           Kuzey Kıbrıs Türk Cumhuriyeti Cumhuriyet Meclisi aşağıdaki Yasayı yapar:</w:t>
            </w:r>
          </w:p>
        </w:tc>
      </w:tr>
      <w:tr w:rsidR="001778F1" w:rsidRPr="00B935F9" w:rsidTr="001778F1">
        <w:tc>
          <w:tcPr>
            <w:tcW w:w="1627" w:type="dxa"/>
            <w:shd w:val="clear" w:color="auto" w:fill="auto"/>
          </w:tcPr>
          <w:p w:rsidR="001778F1" w:rsidRPr="00B935F9" w:rsidRDefault="001778F1" w:rsidP="001778F1">
            <w:pPr>
              <w:jc w:val="both"/>
            </w:pPr>
          </w:p>
        </w:tc>
        <w:tc>
          <w:tcPr>
            <w:tcW w:w="7875" w:type="dxa"/>
            <w:gridSpan w:val="7"/>
            <w:shd w:val="clear" w:color="auto" w:fill="auto"/>
          </w:tcPr>
          <w:p w:rsidR="001778F1" w:rsidRPr="001778F1" w:rsidRDefault="001778F1" w:rsidP="001778F1">
            <w:pPr>
              <w:jc w:val="both"/>
            </w:pPr>
          </w:p>
        </w:tc>
      </w:tr>
      <w:tr w:rsidR="001778F1" w:rsidRPr="00B935F9" w:rsidTr="001778F1">
        <w:tc>
          <w:tcPr>
            <w:tcW w:w="1627" w:type="dxa"/>
            <w:shd w:val="clear" w:color="auto" w:fill="auto"/>
          </w:tcPr>
          <w:p w:rsidR="001778F1" w:rsidRDefault="001778F1" w:rsidP="001778F1">
            <w:pPr>
              <w:ind w:left="34"/>
            </w:pPr>
            <w:r w:rsidRPr="00A965E0">
              <w:t xml:space="preserve">Kısa İsim </w:t>
            </w:r>
          </w:p>
          <w:p w:rsidR="001778F1" w:rsidRDefault="001778F1" w:rsidP="001778F1">
            <w:r w:rsidRPr="000334A3">
              <w:t>6/2009</w:t>
            </w:r>
          </w:p>
          <w:p w:rsidR="001778F1" w:rsidRDefault="001778F1" w:rsidP="001778F1">
            <w:r>
              <w:t xml:space="preserve">        75/2009</w:t>
            </w:r>
          </w:p>
          <w:p w:rsidR="001778F1" w:rsidRDefault="001778F1" w:rsidP="001778F1">
            <w:pPr>
              <w:contextualSpacing/>
            </w:pPr>
            <w:r>
              <w:t xml:space="preserve">        37/2010</w:t>
            </w:r>
          </w:p>
          <w:p w:rsidR="001778F1" w:rsidRDefault="001778F1" w:rsidP="001778F1">
            <w:pPr>
              <w:contextualSpacing/>
            </w:pPr>
            <w:r>
              <w:t xml:space="preserve">        49/2010</w:t>
            </w:r>
            <w:r w:rsidRPr="000334A3">
              <w:t xml:space="preserve">  </w:t>
            </w:r>
            <w:r>
              <w:t xml:space="preserve">   </w:t>
            </w:r>
          </w:p>
          <w:p w:rsidR="001778F1" w:rsidRDefault="001778F1" w:rsidP="001778F1">
            <w:pPr>
              <w:contextualSpacing/>
            </w:pPr>
            <w:r>
              <w:t xml:space="preserve">        </w:t>
            </w:r>
            <w:r w:rsidRPr="000334A3">
              <w:t xml:space="preserve">18/2017        </w:t>
            </w:r>
            <w:r>
              <w:t xml:space="preserve">  </w:t>
            </w:r>
          </w:p>
          <w:p w:rsidR="001778F1" w:rsidRDefault="001778F1" w:rsidP="001778F1">
            <w:pPr>
              <w:contextualSpacing/>
            </w:pPr>
            <w:r>
              <w:t xml:space="preserve">        </w:t>
            </w:r>
            <w:r w:rsidRPr="000334A3">
              <w:t xml:space="preserve">47/2017  </w:t>
            </w:r>
            <w:r>
              <w:t xml:space="preserve"> </w:t>
            </w:r>
          </w:p>
          <w:p w:rsidR="001778F1" w:rsidRDefault="001778F1" w:rsidP="001778F1">
            <w:pPr>
              <w:contextualSpacing/>
            </w:pPr>
            <w:r>
              <w:t xml:space="preserve">          </w:t>
            </w:r>
            <w:r w:rsidRPr="000334A3">
              <w:t>1/2018</w:t>
            </w:r>
          </w:p>
          <w:p w:rsidR="001778F1" w:rsidRDefault="001778F1" w:rsidP="001778F1">
            <w:pPr>
              <w:contextualSpacing/>
            </w:pPr>
            <w:r>
              <w:t xml:space="preserve">          </w:t>
            </w:r>
            <w:r w:rsidRPr="000334A3">
              <w:t xml:space="preserve">7/2018 </w:t>
            </w:r>
            <w:r>
              <w:t xml:space="preserve">  </w:t>
            </w:r>
          </w:p>
          <w:p w:rsidR="001778F1" w:rsidRDefault="001778F1" w:rsidP="001778F1">
            <w:pPr>
              <w:contextualSpacing/>
            </w:pPr>
            <w:r>
              <w:t xml:space="preserve">        </w:t>
            </w:r>
            <w:r w:rsidRPr="000334A3">
              <w:t xml:space="preserve">37/2018 </w:t>
            </w:r>
          </w:p>
          <w:p w:rsidR="001778F1" w:rsidRPr="00A965E0" w:rsidRDefault="001778F1" w:rsidP="001778F1">
            <w:pPr>
              <w:contextualSpacing/>
            </w:pPr>
            <w:r>
              <w:t xml:space="preserve">        </w:t>
            </w:r>
            <w:r w:rsidRPr="000334A3">
              <w:t>36/2019</w:t>
            </w:r>
          </w:p>
        </w:tc>
        <w:tc>
          <w:tcPr>
            <w:tcW w:w="7875" w:type="dxa"/>
            <w:gridSpan w:val="7"/>
            <w:shd w:val="clear" w:color="auto" w:fill="auto"/>
          </w:tcPr>
          <w:p w:rsidR="001778F1" w:rsidRPr="00B935F9" w:rsidRDefault="001778F1" w:rsidP="001778F1">
            <w:pPr>
              <w:jc w:val="both"/>
            </w:pPr>
            <w:r>
              <w:t xml:space="preserve">1. </w:t>
            </w:r>
            <w:r w:rsidRPr="00B935F9">
              <w:t>Bu Yasa, Kamu Sağlık Çalışanları (Değişiklik) Yasası olarak isimlendirilir ve aşağıda “Esas Yasa” olarak anılan Kamu Sağlık Çalışanları Yasası ile birlikte okunur.</w:t>
            </w:r>
          </w:p>
        </w:tc>
      </w:tr>
      <w:tr w:rsidR="001778F1" w:rsidRPr="00B935F9" w:rsidTr="001778F1">
        <w:tc>
          <w:tcPr>
            <w:tcW w:w="1627" w:type="dxa"/>
            <w:shd w:val="clear" w:color="auto" w:fill="auto"/>
          </w:tcPr>
          <w:p w:rsidR="001778F1" w:rsidRPr="00A965E0" w:rsidRDefault="001778F1" w:rsidP="001778F1">
            <w:pPr>
              <w:ind w:left="34"/>
            </w:pPr>
          </w:p>
        </w:tc>
        <w:tc>
          <w:tcPr>
            <w:tcW w:w="7875" w:type="dxa"/>
            <w:gridSpan w:val="7"/>
            <w:shd w:val="clear" w:color="auto" w:fill="auto"/>
          </w:tcPr>
          <w:p w:rsidR="001778F1" w:rsidRDefault="001778F1" w:rsidP="001778F1">
            <w:pPr>
              <w:jc w:val="both"/>
            </w:pPr>
          </w:p>
        </w:tc>
      </w:tr>
      <w:tr w:rsidR="001778F1" w:rsidRPr="00B935F9" w:rsidTr="001778F1">
        <w:tc>
          <w:tcPr>
            <w:tcW w:w="1627" w:type="dxa"/>
            <w:shd w:val="clear" w:color="auto" w:fill="auto"/>
          </w:tcPr>
          <w:p w:rsidR="001778F1" w:rsidRPr="00A965E0" w:rsidRDefault="001778F1" w:rsidP="001778F1">
            <w:pPr>
              <w:ind w:left="34"/>
            </w:pPr>
            <w:r>
              <w:t>Esas Yasanın 14’üncü</w:t>
            </w:r>
          </w:p>
        </w:tc>
        <w:tc>
          <w:tcPr>
            <w:tcW w:w="7875" w:type="dxa"/>
            <w:gridSpan w:val="7"/>
            <w:shd w:val="clear" w:color="auto" w:fill="auto"/>
          </w:tcPr>
          <w:p w:rsidR="001778F1" w:rsidRDefault="001778F1" w:rsidP="001778F1">
            <w:pPr>
              <w:jc w:val="both"/>
            </w:pPr>
            <w:r>
              <w:t xml:space="preserve">2. </w:t>
            </w:r>
            <w:r w:rsidRPr="001778F1">
              <w:t>Esas Yasa, 14’üncü maddesinin (2)’nci fıkrası kaldırılmak ve yerine aşağıdaki yeni (2)’nci fıkra konmak suretiyle değiştirilir:</w:t>
            </w:r>
          </w:p>
        </w:tc>
      </w:tr>
      <w:tr w:rsidR="001778F1" w:rsidRPr="00B935F9" w:rsidTr="001778F1">
        <w:tc>
          <w:tcPr>
            <w:tcW w:w="1627" w:type="dxa"/>
            <w:shd w:val="clear" w:color="auto" w:fill="auto"/>
          </w:tcPr>
          <w:p w:rsidR="001778F1" w:rsidRDefault="001778F1" w:rsidP="001778F1">
            <w:pPr>
              <w:ind w:left="34"/>
            </w:pPr>
            <w:r w:rsidRPr="001778F1">
              <w:t>Maddesinin</w:t>
            </w:r>
          </w:p>
        </w:tc>
        <w:tc>
          <w:tcPr>
            <w:tcW w:w="7875" w:type="dxa"/>
            <w:gridSpan w:val="7"/>
            <w:shd w:val="clear" w:color="auto" w:fill="auto"/>
          </w:tcPr>
          <w:p w:rsidR="001778F1" w:rsidRDefault="001778F1" w:rsidP="001778F1">
            <w:pPr>
              <w:jc w:val="both"/>
            </w:pPr>
          </w:p>
        </w:tc>
      </w:tr>
      <w:tr w:rsidR="00241632" w:rsidRPr="00B935F9" w:rsidTr="00241632">
        <w:tc>
          <w:tcPr>
            <w:tcW w:w="1627" w:type="dxa"/>
            <w:shd w:val="clear" w:color="auto" w:fill="auto"/>
          </w:tcPr>
          <w:p w:rsidR="00241632" w:rsidRDefault="00241632" w:rsidP="001778F1">
            <w:pPr>
              <w:ind w:left="34"/>
            </w:pPr>
            <w:r>
              <w:t>Değiştirilmesi</w:t>
            </w:r>
            <w:r>
              <w:br w:type="page"/>
            </w:r>
          </w:p>
        </w:tc>
        <w:tc>
          <w:tcPr>
            <w:tcW w:w="495" w:type="dxa"/>
            <w:shd w:val="clear" w:color="auto" w:fill="auto"/>
          </w:tcPr>
          <w:p w:rsidR="00241632" w:rsidRDefault="00241632" w:rsidP="001778F1">
            <w:pPr>
              <w:jc w:val="both"/>
            </w:pPr>
          </w:p>
        </w:tc>
        <w:tc>
          <w:tcPr>
            <w:tcW w:w="630" w:type="dxa"/>
            <w:shd w:val="clear" w:color="auto" w:fill="auto"/>
          </w:tcPr>
          <w:p w:rsidR="00241632" w:rsidRDefault="00241632" w:rsidP="001778F1">
            <w:pPr>
              <w:jc w:val="both"/>
            </w:pPr>
            <w:r>
              <w:t>“(2)</w:t>
            </w:r>
          </w:p>
        </w:tc>
        <w:tc>
          <w:tcPr>
            <w:tcW w:w="630" w:type="dxa"/>
            <w:shd w:val="clear" w:color="auto" w:fill="auto"/>
          </w:tcPr>
          <w:p w:rsidR="00241632" w:rsidRDefault="00241632" w:rsidP="006F57B4">
            <w:pPr>
              <w:jc w:val="both"/>
            </w:pPr>
            <w:r>
              <w:t>(A)</w:t>
            </w:r>
          </w:p>
        </w:tc>
        <w:tc>
          <w:tcPr>
            <w:tcW w:w="6120" w:type="dxa"/>
            <w:gridSpan w:val="4"/>
            <w:shd w:val="clear" w:color="auto" w:fill="auto"/>
          </w:tcPr>
          <w:p w:rsidR="00241632" w:rsidRDefault="00DA7E00" w:rsidP="00DA7E00">
            <w:pPr>
              <w:jc w:val="both"/>
            </w:pPr>
            <w:r w:rsidRPr="00DA7E00">
              <w:t>Mesai saatlerinin düzenli bir şekilde yürütülmesi için hastanelerin ilgili birimlerinde çalışan personelin giriş</w:t>
            </w:r>
            <w:r>
              <w:t xml:space="preserve"> </w:t>
            </w:r>
            <w:r w:rsidRPr="00DA7E00">
              <w:t>-</w:t>
            </w:r>
            <w:r>
              <w:t xml:space="preserve"> </w:t>
            </w:r>
            <w:r w:rsidRPr="00DA7E00">
              <w:t xml:space="preserve">çıkış ve kontrolü </w:t>
            </w:r>
            <w:r>
              <w:t>H</w:t>
            </w:r>
            <w:r w:rsidRPr="00DA7E00">
              <w:t xml:space="preserve">astane </w:t>
            </w:r>
            <w:r>
              <w:t>Y</w:t>
            </w:r>
            <w:r w:rsidRPr="00DA7E00">
              <w:t xml:space="preserve">önetim </w:t>
            </w:r>
            <w:r>
              <w:t>K</w:t>
            </w:r>
            <w:r w:rsidRPr="00DA7E00">
              <w:t>urullarının belirleyeceği ve Bakanlıkça uygun görülen yöntemle saptanır.</w:t>
            </w:r>
          </w:p>
        </w:tc>
      </w:tr>
      <w:tr w:rsidR="00241632" w:rsidRPr="00B935F9" w:rsidTr="00241632">
        <w:tc>
          <w:tcPr>
            <w:tcW w:w="1627" w:type="dxa"/>
            <w:shd w:val="clear" w:color="auto" w:fill="auto"/>
          </w:tcPr>
          <w:p w:rsidR="00241632" w:rsidRDefault="00241632" w:rsidP="001778F1">
            <w:pPr>
              <w:ind w:left="34"/>
            </w:pPr>
          </w:p>
        </w:tc>
        <w:tc>
          <w:tcPr>
            <w:tcW w:w="495" w:type="dxa"/>
            <w:shd w:val="clear" w:color="auto" w:fill="auto"/>
          </w:tcPr>
          <w:p w:rsidR="00241632" w:rsidRDefault="00241632" w:rsidP="001778F1">
            <w:pPr>
              <w:jc w:val="both"/>
            </w:pPr>
          </w:p>
        </w:tc>
        <w:tc>
          <w:tcPr>
            <w:tcW w:w="630" w:type="dxa"/>
            <w:shd w:val="clear" w:color="auto" w:fill="auto"/>
          </w:tcPr>
          <w:p w:rsidR="00241632" w:rsidRDefault="00241632" w:rsidP="001778F1">
            <w:pPr>
              <w:jc w:val="both"/>
            </w:pPr>
          </w:p>
        </w:tc>
        <w:tc>
          <w:tcPr>
            <w:tcW w:w="630" w:type="dxa"/>
            <w:shd w:val="clear" w:color="auto" w:fill="auto"/>
          </w:tcPr>
          <w:p w:rsidR="00241632" w:rsidRPr="001923E2" w:rsidRDefault="00241632" w:rsidP="00866CE7">
            <w:r w:rsidRPr="001923E2">
              <w:t>(B)</w:t>
            </w:r>
          </w:p>
        </w:tc>
        <w:tc>
          <w:tcPr>
            <w:tcW w:w="6120" w:type="dxa"/>
            <w:gridSpan w:val="4"/>
            <w:shd w:val="clear" w:color="auto" w:fill="auto"/>
          </w:tcPr>
          <w:p w:rsidR="00241632" w:rsidRDefault="00DA7E00" w:rsidP="00241632">
            <w:pPr>
              <w:jc w:val="both"/>
            </w:pPr>
            <w:r>
              <w:t>Bakanlıkça uygun görülmeyen ve onaylanmayan hallerde, Sağlık Hizmetleri Danışma Kurulu devamlılıkla ilgili nihai kararı verir ve onaylanmak üzere Bakanlığa gönderir.</w:t>
            </w:r>
          </w:p>
        </w:tc>
      </w:tr>
      <w:tr w:rsidR="00D04A06" w:rsidRPr="00B935F9" w:rsidTr="00FD1F28">
        <w:tc>
          <w:tcPr>
            <w:tcW w:w="1627" w:type="dxa"/>
            <w:shd w:val="clear" w:color="auto" w:fill="auto"/>
          </w:tcPr>
          <w:p w:rsidR="00D04A06" w:rsidRDefault="00D04A06" w:rsidP="001778F1">
            <w:pPr>
              <w:ind w:left="34"/>
            </w:pPr>
          </w:p>
        </w:tc>
        <w:tc>
          <w:tcPr>
            <w:tcW w:w="1125" w:type="dxa"/>
            <w:gridSpan w:val="2"/>
            <w:shd w:val="clear" w:color="auto" w:fill="auto"/>
          </w:tcPr>
          <w:p w:rsidR="00D04A06" w:rsidRDefault="00D04A06" w:rsidP="001778F1">
            <w:pPr>
              <w:jc w:val="both"/>
            </w:pPr>
          </w:p>
          <w:p w:rsidR="00D04A06" w:rsidRDefault="00D04A06" w:rsidP="001778F1">
            <w:pPr>
              <w:jc w:val="both"/>
            </w:pPr>
          </w:p>
          <w:p w:rsidR="00D04A06" w:rsidRDefault="00D04A06" w:rsidP="001778F1">
            <w:pPr>
              <w:jc w:val="both"/>
            </w:pPr>
            <w:r>
              <w:t>89/2007</w:t>
            </w:r>
          </w:p>
        </w:tc>
        <w:tc>
          <w:tcPr>
            <w:tcW w:w="630" w:type="dxa"/>
            <w:shd w:val="clear" w:color="auto" w:fill="auto"/>
          </w:tcPr>
          <w:p w:rsidR="00D04A06" w:rsidRDefault="00D04A06" w:rsidP="006F57B4">
            <w:pPr>
              <w:jc w:val="both"/>
            </w:pPr>
            <w:r>
              <w:t>(C)</w:t>
            </w:r>
          </w:p>
        </w:tc>
        <w:tc>
          <w:tcPr>
            <w:tcW w:w="6120" w:type="dxa"/>
            <w:gridSpan w:val="4"/>
            <w:shd w:val="clear" w:color="auto" w:fill="auto"/>
          </w:tcPr>
          <w:p w:rsidR="00D04A06" w:rsidRDefault="00D04A06" w:rsidP="00DA7E00">
            <w:pPr>
              <w:jc w:val="both"/>
            </w:pPr>
            <w:r>
              <w:t>Devamlılıkla ilgili saptanan yöntemin uygulanması sırasında personelden alınan her türlü kişisel veri ve bilgi gizli olup, Kişisel Verilerin Korunması Yasası kapsamında değerlendirilir.’’</w:t>
            </w:r>
          </w:p>
        </w:tc>
      </w:tr>
      <w:tr w:rsidR="00241632" w:rsidRPr="00B935F9" w:rsidTr="00241632">
        <w:tc>
          <w:tcPr>
            <w:tcW w:w="1627" w:type="dxa"/>
            <w:shd w:val="clear" w:color="auto" w:fill="auto"/>
          </w:tcPr>
          <w:p w:rsidR="00241632" w:rsidRDefault="00241632" w:rsidP="001778F1">
            <w:pPr>
              <w:ind w:left="34"/>
            </w:pPr>
          </w:p>
        </w:tc>
        <w:tc>
          <w:tcPr>
            <w:tcW w:w="495" w:type="dxa"/>
            <w:shd w:val="clear" w:color="auto" w:fill="auto"/>
          </w:tcPr>
          <w:p w:rsidR="00241632" w:rsidRDefault="00241632" w:rsidP="001778F1">
            <w:pPr>
              <w:jc w:val="both"/>
            </w:pPr>
          </w:p>
        </w:tc>
        <w:tc>
          <w:tcPr>
            <w:tcW w:w="630" w:type="dxa"/>
            <w:shd w:val="clear" w:color="auto" w:fill="auto"/>
          </w:tcPr>
          <w:p w:rsidR="00241632" w:rsidRDefault="00241632" w:rsidP="001778F1">
            <w:pPr>
              <w:jc w:val="both"/>
            </w:pPr>
          </w:p>
        </w:tc>
        <w:tc>
          <w:tcPr>
            <w:tcW w:w="630" w:type="dxa"/>
            <w:shd w:val="clear" w:color="auto" w:fill="auto"/>
          </w:tcPr>
          <w:p w:rsidR="00241632" w:rsidRDefault="00241632" w:rsidP="006F57B4">
            <w:pPr>
              <w:jc w:val="both"/>
            </w:pPr>
          </w:p>
        </w:tc>
        <w:tc>
          <w:tcPr>
            <w:tcW w:w="6120" w:type="dxa"/>
            <w:gridSpan w:val="4"/>
            <w:shd w:val="clear" w:color="auto" w:fill="auto"/>
          </w:tcPr>
          <w:p w:rsidR="00241632" w:rsidRDefault="00241632" w:rsidP="00241632">
            <w:pPr>
              <w:jc w:val="both"/>
            </w:pPr>
          </w:p>
        </w:tc>
      </w:tr>
      <w:tr w:rsidR="001778F1" w:rsidRPr="00B935F9" w:rsidTr="001778F1">
        <w:tc>
          <w:tcPr>
            <w:tcW w:w="1627" w:type="dxa"/>
            <w:shd w:val="clear" w:color="auto" w:fill="auto"/>
          </w:tcPr>
          <w:p w:rsidR="001778F1" w:rsidRPr="001778F1" w:rsidRDefault="001778F1" w:rsidP="001778F1">
            <w:pPr>
              <w:ind w:left="34"/>
            </w:pPr>
            <w:r w:rsidRPr="001778F1">
              <w:t>Esas Yasaya Yeni 77A</w:t>
            </w:r>
          </w:p>
        </w:tc>
        <w:tc>
          <w:tcPr>
            <w:tcW w:w="7875" w:type="dxa"/>
            <w:gridSpan w:val="7"/>
            <w:shd w:val="clear" w:color="auto" w:fill="auto"/>
          </w:tcPr>
          <w:p w:rsidR="001778F1" w:rsidRPr="001778F1" w:rsidRDefault="001778F1" w:rsidP="001778F1">
            <w:pPr>
              <w:jc w:val="both"/>
            </w:pPr>
            <w:r>
              <w:t xml:space="preserve">3. </w:t>
            </w:r>
            <w:r w:rsidRPr="001778F1">
              <w:t>Esas Yasa, 77’nci maddesinden hemen sonra aşağıdaki yeni 77A maddesi eklenmek suretiyle değiştirilir:</w:t>
            </w:r>
          </w:p>
        </w:tc>
      </w:tr>
      <w:tr w:rsidR="001778F1" w:rsidRPr="00B935F9" w:rsidTr="001778F1">
        <w:tc>
          <w:tcPr>
            <w:tcW w:w="1627" w:type="dxa"/>
            <w:shd w:val="clear" w:color="auto" w:fill="auto"/>
          </w:tcPr>
          <w:p w:rsidR="001778F1" w:rsidRPr="001778F1" w:rsidRDefault="001778F1" w:rsidP="001778F1">
            <w:pPr>
              <w:ind w:left="34"/>
            </w:pPr>
            <w:r w:rsidRPr="001778F1">
              <w:t>Maddesinin</w:t>
            </w:r>
          </w:p>
        </w:tc>
        <w:tc>
          <w:tcPr>
            <w:tcW w:w="495" w:type="dxa"/>
            <w:shd w:val="clear" w:color="auto" w:fill="auto"/>
          </w:tcPr>
          <w:p w:rsidR="001778F1" w:rsidRDefault="001778F1" w:rsidP="001778F1">
            <w:pPr>
              <w:jc w:val="both"/>
            </w:pPr>
          </w:p>
        </w:tc>
        <w:tc>
          <w:tcPr>
            <w:tcW w:w="630" w:type="dxa"/>
            <w:shd w:val="clear" w:color="auto" w:fill="auto"/>
          </w:tcPr>
          <w:p w:rsidR="001778F1" w:rsidRDefault="001778F1" w:rsidP="001778F1">
            <w:pPr>
              <w:jc w:val="both"/>
            </w:pPr>
          </w:p>
        </w:tc>
        <w:tc>
          <w:tcPr>
            <w:tcW w:w="6750" w:type="dxa"/>
            <w:gridSpan w:val="5"/>
            <w:shd w:val="clear" w:color="auto" w:fill="auto"/>
          </w:tcPr>
          <w:p w:rsidR="001778F1" w:rsidRPr="001778F1" w:rsidRDefault="001778F1" w:rsidP="001778F1">
            <w:pPr>
              <w:jc w:val="both"/>
            </w:pPr>
          </w:p>
        </w:tc>
      </w:tr>
      <w:tr w:rsidR="001778F1" w:rsidRPr="00B935F9" w:rsidTr="001778F1">
        <w:tc>
          <w:tcPr>
            <w:tcW w:w="1627" w:type="dxa"/>
            <w:shd w:val="clear" w:color="auto" w:fill="auto"/>
          </w:tcPr>
          <w:p w:rsidR="001778F1" w:rsidRPr="001778F1" w:rsidRDefault="001778F1" w:rsidP="001778F1">
            <w:pPr>
              <w:ind w:left="34"/>
            </w:pPr>
            <w:r w:rsidRPr="001778F1">
              <w:t>Eklenmesi</w:t>
            </w:r>
          </w:p>
        </w:tc>
        <w:tc>
          <w:tcPr>
            <w:tcW w:w="495" w:type="dxa"/>
            <w:shd w:val="clear" w:color="auto" w:fill="auto"/>
          </w:tcPr>
          <w:p w:rsidR="001778F1" w:rsidRDefault="001778F1" w:rsidP="001778F1">
            <w:pPr>
              <w:jc w:val="both"/>
            </w:pPr>
          </w:p>
        </w:tc>
        <w:tc>
          <w:tcPr>
            <w:tcW w:w="1710" w:type="dxa"/>
            <w:gridSpan w:val="3"/>
            <w:shd w:val="clear" w:color="auto" w:fill="auto"/>
          </w:tcPr>
          <w:p w:rsidR="001778F1" w:rsidRDefault="001778F1" w:rsidP="001778F1">
            <w:r w:rsidRPr="001778F1">
              <w:t xml:space="preserve">“Kadro Fazlası Olarak Terfi Ettirilen Kamu Sağlık Çalışanlarının </w:t>
            </w:r>
            <w:r w:rsidRPr="001778F1">
              <w:lastRenderedPageBreak/>
              <w:t>Bulunduğu Derecedeki Açık Kadroya Başvurma Koşulları</w:t>
            </w:r>
          </w:p>
        </w:tc>
        <w:tc>
          <w:tcPr>
            <w:tcW w:w="720" w:type="dxa"/>
            <w:shd w:val="clear" w:color="auto" w:fill="auto"/>
          </w:tcPr>
          <w:p w:rsidR="001778F1" w:rsidRPr="001778F1" w:rsidRDefault="001778F1" w:rsidP="001778F1">
            <w:pPr>
              <w:jc w:val="both"/>
            </w:pPr>
            <w:r>
              <w:lastRenderedPageBreak/>
              <w:t>77A.</w:t>
            </w:r>
          </w:p>
        </w:tc>
        <w:tc>
          <w:tcPr>
            <w:tcW w:w="540" w:type="dxa"/>
            <w:shd w:val="clear" w:color="auto" w:fill="auto"/>
          </w:tcPr>
          <w:p w:rsidR="001778F1" w:rsidRPr="001778F1" w:rsidRDefault="001778F1" w:rsidP="001778F1">
            <w:pPr>
              <w:jc w:val="both"/>
            </w:pPr>
            <w:r>
              <w:t>(1)</w:t>
            </w:r>
          </w:p>
        </w:tc>
        <w:tc>
          <w:tcPr>
            <w:tcW w:w="4410" w:type="dxa"/>
            <w:shd w:val="clear" w:color="auto" w:fill="auto"/>
          </w:tcPr>
          <w:p w:rsidR="001778F1" w:rsidRDefault="001778F1" w:rsidP="001778F1">
            <w:pPr>
              <w:jc w:val="both"/>
            </w:pPr>
            <w:r>
              <w:t xml:space="preserve">Bu Yasanın 59’uncu maddesinin (2)’nci fıkrasının (B) bendi uyarınca, kadro fazlası olarak bir üst dereceye terfi ettirilen kamu sağlık çalışanları, bulundukları derecedeki kadronun münhal ilan edilmesi halinde, </w:t>
            </w:r>
            <w:r>
              <w:lastRenderedPageBreak/>
              <w:t>açık kadroya geçiş yapabilmek amacıyla münhale başvuruda bulunabilirler.</w:t>
            </w:r>
          </w:p>
          <w:p w:rsidR="001778F1" w:rsidRPr="001778F1" w:rsidRDefault="001778F1" w:rsidP="00FB7745">
            <w:pPr>
              <w:jc w:val="both"/>
            </w:pPr>
            <w:r>
              <w:t xml:space="preserve">    Ancak söz konusu kadroya başvuruda bulunulabilmesi için, açık kadronun derece yükselmesi yoluyla doldurulmak üzere münhal ilan edilmesi gerekir.</w:t>
            </w:r>
          </w:p>
        </w:tc>
      </w:tr>
    </w:tbl>
    <w:p w:rsidR="005576D5" w:rsidRDefault="005576D5">
      <w:r>
        <w:lastRenderedPageBreak/>
        <w:br w:type="page"/>
      </w:r>
    </w:p>
    <w:tbl>
      <w:tblPr>
        <w:tblW w:w="9502" w:type="dxa"/>
        <w:tblInd w:w="-34" w:type="dxa"/>
        <w:tblLook w:val="04A0" w:firstRow="1" w:lastRow="0" w:firstColumn="1" w:lastColumn="0" w:noHBand="0" w:noVBand="1"/>
      </w:tblPr>
      <w:tblGrid>
        <w:gridCol w:w="1627"/>
        <w:gridCol w:w="495"/>
        <w:gridCol w:w="1710"/>
        <w:gridCol w:w="720"/>
        <w:gridCol w:w="540"/>
        <w:gridCol w:w="630"/>
        <w:gridCol w:w="3780"/>
      </w:tblGrid>
      <w:tr w:rsidR="001778F1" w:rsidRPr="00B935F9" w:rsidTr="001778F1">
        <w:tc>
          <w:tcPr>
            <w:tcW w:w="1627" w:type="dxa"/>
            <w:shd w:val="clear" w:color="auto" w:fill="auto"/>
          </w:tcPr>
          <w:p w:rsidR="001778F1" w:rsidRPr="001778F1" w:rsidRDefault="001778F1" w:rsidP="001778F1">
            <w:pPr>
              <w:ind w:left="34"/>
            </w:pPr>
          </w:p>
        </w:tc>
        <w:tc>
          <w:tcPr>
            <w:tcW w:w="495" w:type="dxa"/>
            <w:shd w:val="clear" w:color="auto" w:fill="auto"/>
          </w:tcPr>
          <w:p w:rsidR="001778F1" w:rsidRDefault="001778F1" w:rsidP="001778F1">
            <w:pPr>
              <w:jc w:val="both"/>
            </w:pPr>
          </w:p>
        </w:tc>
        <w:tc>
          <w:tcPr>
            <w:tcW w:w="1710" w:type="dxa"/>
            <w:shd w:val="clear" w:color="auto" w:fill="auto"/>
          </w:tcPr>
          <w:p w:rsidR="001778F1" w:rsidRPr="001778F1" w:rsidRDefault="001778F1" w:rsidP="001778F1"/>
        </w:tc>
        <w:tc>
          <w:tcPr>
            <w:tcW w:w="720" w:type="dxa"/>
            <w:shd w:val="clear" w:color="auto" w:fill="auto"/>
          </w:tcPr>
          <w:p w:rsidR="001778F1" w:rsidRDefault="001778F1" w:rsidP="001778F1">
            <w:pPr>
              <w:jc w:val="both"/>
            </w:pPr>
          </w:p>
        </w:tc>
        <w:tc>
          <w:tcPr>
            <w:tcW w:w="540" w:type="dxa"/>
            <w:shd w:val="clear" w:color="auto" w:fill="auto"/>
          </w:tcPr>
          <w:p w:rsidR="001778F1" w:rsidRDefault="001778F1" w:rsidP="001778F1">
            <w:pPr>
              <w:jc w:val="both"/>
            </w:pPr>
            <w:r>
              <w:t>(2)</w:t>
            </w:r>
          </w:p>
        </w:tc>
        <w:tc>
          <w:tcPr>
            <w:tcW w:w="4410" w:type="dxa"/>
            <w:gridSpan w:val="2"/>
            <w:shd w:val="clear" w:color="auto" w:fill="auto"/>
          </w:tcPr>
          <w:p w:rsidR="001778F1" w:rsidRDefault="001778F1" w:rsidP="001778F1">
            <w:pPr>
              <w:jc w:val="both"/>
            </w:pPr>
            <w:r w:rsidRPr="001778F1">
              <w:t>Yukarıdaki (1)’inci fıkra uyarınca münhal ilan edilen kadroya geçiş yapabilme koşulları şunlardır:</w:t>
            </w:r>
          </w:p>
        </w:tc>
      </w:tr>
      <w:tr w:rsidR="001778F1" w:rsidRPr="00B935F9" w:rsidTr="001778F1">
        <w:tc>
          <w:tcPr>
            <w:tcW w:w="1627" w:type="dxa"/>
            <w:shd w:val="clear" w:color="auto" w:fill="auto"/>
          </w:tcPr>
          <w:p w:rsidR="001778F1" w:rsidRPr="001778F1" w:rsidRDefault="001778F1" w:rsidP="001778F1">
            <w:pPr>
              <w:ind w:left="34"/>
            </w:pPr>
          </w:p>
        </w:tc>
        <w:tc>
          <w:tcPr>
            <w:tcW w:w="495" w:type="dxa"/>
            <w:shd w:val="clear" w:color="auto" w:fill="auto"/>
          </w:tcPr>
          <w:p w:rsidR="001778F1" w:rsidRDefault="001778F1" w:rsidP="001778F1">
            <w:pPr>
              <w:jc w:val="both"/>
            </w:pPr>
          </w:p>
        </w:tc>
        <w:tc>
          <w:tcPr>
            <w:tcW w:w="1710" w:type="dxa"/>
            <w:shd w:val="clear" w:color="auto" w:fill="auto"/>
          </w:tcPr>
          <w:p w:rsidR="001778F1" w:rsidRPr="001778F1" w:rsidRDefault="001778F1" w:rsidP="001778F1"/>
        </w:tc>
        <w:tc>
          <w:tcPr>
            <w:tcW w:w="720" w:type="dxa"/>
            <w:shd w:val="clear" w:color="auto" w:fill="auto"/>
          </w:tcPr>
          <w:p w:rsidR="001778F1" w:rsidRDefault="001778F1" w:rsidP="001778F1">
            <w:pPr>
              <w:jc w:val="both"/>
            </w:pPr>
          </w:p>
        </w:tc>
        <w:tc>
          <w:tcPr>
            <w:tcW w:w="540" w:type="dxa"/>
            <w:shd w:val="clear" w:color="auto" w:fill="auto"/>
          </w:tcPr>
          <w:p w:rsidR="001778F1" w:rsidRDefault="001778F1" w:rsidP="001778F1">
            <w:pPr>
              <w:jc w:val="both"/>
            </w:pPr>
          </w:p>
        </w:tc>
        <w:tc>
          <w:tcPr>
            <w:tcW w:w="630" w:type="dxa"/>
            <w:shd w:val="clear" w:color="auto" w:fill="auto"/>
          </w:tcPr>
          <w:p w:rsidR="001778F1" w:rsidRDefault="001778F1" w:rsidP="001778F1">
            <w:pPr>
              <w:jc w:val="both"/>
            </w:pPr>
            <w:r>
              <w:t>(A)</w:t>
            </w:r>
          </w:p>
        </w:tc>
        <w:tc>
          <w:tcPr>
            <w:tcW w:w="3780" w:type="dxa"/>
            <w:shd w:val="clear" w:color="auto" w:fill="auto"/>
          </w:tcPr>
          <w:p w:rsidR="001778F1" w:rsidRDefault="001778F1" w:rsidP="001778F1">
            <w:pPr>
              <w:jc w:val="both"/>
            </w:pPr>
            <w:r>
              <w:t>Açık kadro bulunması koşulu:</w:t>
            </w:r>
          </w:p>
          <w:p w:rsidR="001778F1" w:rsidRDefault="001778F1" w:rsidP="001778F1">
            <w:pPr>
              <w:jc w:val="both"/>
            </w:pPr>
            <w:r>
              <w:t>Kamu sağlık çalışanının münhal kadroya başvurabilmesi için bulunduğu derecedeki kadronun açık olması gerekir.</w:t>
            </w:r>
          </w:p>
        </w:tc>
      </w:tr>
      <w:tr w:rsidR="001778F1" w:rsidRPr="00B935F9" w:rsidTr="001778F1">
        <w:tc>
          <w:tcPr>
            <w:tcW w:w="1627" w:type="dxa"/>
            <w:shd w:val="clear" w:color="auto" w:fill="auto"/>
          </w:tcPr>
          <w:p w:rsidR="001778F1" w:rsidRPr="001778F1" w:rsidRDefault="001778F1" w:rsidP="001778F1">
            <w:pPr>
              <w:ind w:left="34"/>
            </w:pPr>
          </w:p>
        </w:tc>
        <w:tc>
          <w:tcPr>
            <w:tcW w:w="495" w:type="dxa"/>
            <w:shd w:val="clear" w:color="auto" w:fill="auto"/>
          </w:tcPr>
          <w:p w:rsidR="001778F1" w:rsidRDefault="001778F1" w:rsidP="001778F1">
            <w:pPr>
              <w:jc w:val="both"/>
            </w:pPr>
          </w:p>
        </w:tc>
        <w:tc>
          <w:tcPr>
            <w:tcW w:w="1710" w:type="dxa"/>
            <w:shd w:val="clear" w:color="auto" w:fill="auto"/>
          </w:tcPr>
          <w:p w:rsidR="001778F1" w:rsidRPr="001778F1" w:rsidRDefault="001778F1" w:rsidP="001778F1"/>
        </w:tc>
        <w:tc>
          <w:tcPr>
            <w:tcW w:w="720" w:type="dxa"/>
            <w:shd w:val="clear" w:color="auto" w:fill="auto"/>
          </w:tcPr>
          <w:p w:rsidR="001778F1" w:rsidRDefault="001778F1" w:rsidP="001778F1">
            <w:pPr>
              <w:jc w:val="both"/>
            </w:pPr>
          </w:p>
        </w:tc>
        <w:tc>
          <w:tcPr>
            <w:tcW w:w="540" w:type="dxa"/>
            <w:shd w:val="clear" w:color="auto" w:fill="auto"/>
          </w:tcPr>
          <w:p w:rsidR="001778F1" w:rsidRDefault="001778F1" w:rsidP="001778F1">
            <w:pPr>
              <w:jc w:val="both"/>
            </w:pPr>
          </w:p>
        </w:tc>
        <w:tc>
          <w:tcPr>
            <w:tcW w:w="630" w:type="dxa"/>
            <w:shd w:val="clear" w:color="auto" w:fill="auto"/>
          </w:tcPr>
          <w:p w:rsidR="001778F1" w:rsidRDefault="001778F1" w:rsidP="001778F1">
            <w:pPr>
              <w:jc w:val="both"/>
            </w:pPr>
            <w:r>
              <w:t>(B)</w:t>
            </w:r>
          </w:p>
        </w:tc>
        <w:tc>
          <w:tcPr>
            <w:tcW w:w="3780" w:type="dxa"/>
            <w:shd w:val="clear" w:color="auto" w:fill="auto"/>
          </w:tcPr>
          <w:p w:rsidR="001778F1" w:rsidRDefault="001778F1" w:rsidP="001778F1">
            <w:pPr>
              <w:jc w:val="both"/>
            </w:pPr>
            <w:r>
              <w:t>Olumlu değerlendirilmiş olma koşulu:</w:t>
            </w:r>
          </w:p>
          <w:p w:rsidR="001778F1" w:rsidRDefault="001778F1" w:rsidP="001778F1">
            <w:pPr>
              <w:jc w:val="both"/>
            </w:pPr>
            <w:r>
              <w:t>Kadro fazlası olarak atanan kamu sağlık çalışanının, söz konusu kadrodaki son performans değerlendirme formunun, bağlı bulunduğu kurumca olumlu değerlendirilmiş ve Kamu Hizmeti Komisyonunca da kabul edilmiş olması gerekir.</w:t>
            </w:r>
          </w:p>
        </w:tc>
      </w:tr>
      <w:tr w:rsidR="001778F1" w:rsidRPr="00B935F9" w:rsidTr="001778F1">
        <w:tc>
          <w:tcPr>
            <w:tcW w:w="1627" w:type="dxa"/>
            <w:shd w:val="clear" w:color="auto" w:fill="auto"/>
          </w:tcPr>
          <w:p w:rsidR="001778F1" w:rsidRPr="001778F1" w:rsidRDefault="001778F1" w:rsidP="001778F1">
            <w:pPr>
              <w:ind w:left="34"/>
            </w:pPr>
          </w:p>
        </w:tc>
        <w:tc>
          <w:tcPr>
            <w:tcW w:w="495" w:type="dxa"/>
            <w:shd w:val="clear" w:color="auto" w:fill="auto"/>
          </w:tcPr>
          <w:p w:rsidR="001778F1" w:rsidRDefault="001778F1" w:rsidP="001778F1">
            <w:pPr>
              <w:jc w:val="both"/>
            </w:pPr>
          </w:p>
        </w:tc>
        <w:tc>
          <w:tcPr>
            <w:tcW w:w="1710" w:type="dxa"/>
            <w:shd w:val="clear" w:color="auto" w:fill="auto"/>
          </w:tcPr>
          <w:p w:rsidR="001778F1" w:rsidRPr="001778F1" w:rsidRDefault="001778F1" w:rsidP="001778F1"/>
        </w:tc>
        <w:tc>
          <w:tcPr>
            <w:tcW w:w="720" w:type="dxa"/>
            <w:shd w:val="clear" w:color="auto" w:fill="auto"/>
          </w:tcPr>
          <w:p w:rsidR="001778F1" w:rsidRDefault="001778F1" w:rsidP="001778F1">
            <w:pPr>
              <w:jc w:val="both"/>
            </w:pPr>
          </w:p>
        </w:tc>
        <w:tc>
          <w:tcPr>
            <w:tcW w:w="540" w:type="dxa"/>
            <w:shd w:val="clear" w:color="auto" w:fill="auto"/>
          </w:tcPr>
          <w:p w:rsidR="001778F1" w:rsidRDefault="001778F1" w:rsidP="001778F1">
            <w:pPr>
              <w:jc w:val="both"/>
            </w:pPr>
          </w:p>
        </w:tc>
        <w:tc>
          <w:tcPr>
            <w:tcW w:w="630" w:type="dxa"/>
            <w:shd w:val="clear" w:color="auto" w:fill="auto"/>
          </w:tcPr>
          <w:p w:rsidR="001778F1" w:rsidRDefault="008F65DC" w:rsidP="001778F1">
            <w:pPr>
              <w:jc w:val="both"/>
            </w:pPr>
            <w:r w:rsidRPr="008F65DC">
              <w:t>(C)</w:t>
            </w:r>
          </w:p>
        </w:tc>
        <w:tc>
          <w:tcPr>
            <w:tcW w:w="3780" w:type="dxa"/>
            <w:shd w:val="clear" w:color="auto" w:fill="auto"/>
          </w:tcPr>
          <w:p w:rsidR="001778F1" w:rsidRDefault="001778F1" w:rsidP="001778F1">
            <w:pPr>
              <w:jc w:val="both"/>
            </w:pPr>
            <w:r>
              <w:t>Sınavda başarılı olma koşulu:</w:t>
            </w:r>
          </w:p>
          <w:p w:rsidR="001778F1" w:rsidRDefault="001778F1" w:rsidP="001778F1">
            <w:pPr>
              <w:jc w:val="both"/>
            </w:pPr>
            <w:r>
              <w:t>Kamu sağlık çalışanının yarışma sınavında başarılı olması gerekir</w:t>
            </w:r>
            <w:r w:rsidR="002D745A">
              <w:t>.</w:t>
            </w:r>
          </w:p>
        </w:tc>
      </w:tr>
      <w:tr w:rsidR="008F65DC" w:rsidRPr="00B935F9" w:rsidTr="008F65DC">
        <w:tc>
          <w:tcPr>
            <w:tcW w:w="1627" w:type="dxa"/>
            <w:shd w:val="clear" w:color="auto" w:fill="auto"/>
          </w:tcPr>
          <w:p w:rsidR="008F65DC" w:rsidRPr="001778F1" w:rsidRDefault="008F65DC" w:rsidP="001778F1">
            <w:pPr>
              <w:ind w:left="34"/>
            </w:pPr>
          </w:p>
        </w:tc>
        <w:tc>
          <w:tcPr>
            <w:tcW w:w="495" w:type="dxa"/>
            <w:shd w:val="clear" w:color="auto" w:fill="auto"/>
          </w:tcPr>
          <w:p w:rsidR="008F65DC" w:rsidRDefault="008F65DC" w:rsidP="001778F1">
            <w:pPr>
              <w:jc w:val="both"/>
            </w:pPr>
          </w:p>
        </w:tc>
        <w:tc>
          <w:tcPr>
            <w:tcW w:w="1710" w:type="dxa"/>
            <w:shd w:val="clear" w:color="auto" w:fill="auto"/>
          </w:tcPr>
          <w:p w:rsidR="008F65DC" w:rsidRPr="001778F1" w:rsidRDefault="008F65DC" w:rsidP="001778F1"/>
        </w:tc>
        <w:tc>
          <w:tcPr>
            <w:tcW w:w="720" w:type="dxa"/>
            <w:shd w:val="clear" w:color="auto" w:fill="auto"/>
          </w:tcPr>
          <w:p w:rsidR="008F65DC" w:rsidRDefault="008F65DC" w:rsidP="001778F1">
            <w:pPr>
              <w:jc w:val="both"/>
            </w:pPr>
          </w:p>
        </w:tc>
        <w:tc>
          <w:tcPr>
            <w:tcW w:w="540" w:type="dxa"/>
            <w:shd w:val="clear" w:color="auto" w:fill="auto"/>
          </w:tcPr>
          <w:p w:rsidR="008F65DC" w:rsidRDefault="008F65DC" w:rsidP="001778F1">
            <w:pPr>
              <w:jc w:val="both"/>
            </w:pPr>
            <w:r>
              <w:t>(3)</w:t>
            </w:r>
          </w:p>
        </w:tc>
        <w:tc>
          <w:tcPr>
            <w:tcW w:w="4410" w:type="dxa"/>
            <w:gridSpan w:val="2"/>
            <w:shd w:val="clear" w:color="auto" w:fill="auto"/>
          </w:tcPr>
          <w:p w:rsidR="008F65DC" w:rsidRDefault="008F65DC" w:rsidP="00FC3179">
            <w:pPr>
              <w:jc w:val="both"/>
            </w:pPr>
            <w:r w:rsidRPr="008F65DC">
              <w:t>Bu madde kapsamındaki kamu sağlık çalışanları, yarışma sınavında başarılı olmalarına rağmen, kadro yetersizliği nedeniyle açık kadroya atanamamaları veya yarışma sınavında başarılı olamamaları halinde, bulundukları derecede kadro fazlası olarak kalmaya devam ederler.</w:t>
            </w:r>
            <w:r w:rsidR="00FC3179">
              <w:t>”</w:t>
            </w:r>
          </w:p>
        </w:tc>
      </w:tr>
      <w:tr w:rsidR="001778F1" w:rsidRPr="00B935F9" w:rsidTr="001778F1">
        <w:tc>
          <w:tcPr>
            <w:tcW w:w="1627" w:type="dxa"/>
            <w:shd w:val="clear" w:color="auto" w:fill="auto"/>
          </w:tcPr>
          <w:p w:rsidR="001778F1" w:rsidRDefault="001778F1" w:rsidP="001778F1">
            <w:pPr>
              <w:ind w:left="34"/>
            </w:pPr>
          </w:p>
        </w:tc>
        <w:tc>
          <w:tcPr>
            <w:tcW w:w="7875" w:type="dxa"/>
            <w:gridSpan w:val="6"/>
            <w:shd w:val="clear" w:color="auto" w:fill="auto"/>
          </w:tcPr>
          <w:p w:rsidR="001778F1" w:rsidRDefault="001778F1" w:rsidP="001778F1">
            <w:pPr>
              <w:jc w:val="both"/>
            </w:pPr>
          </w:p>
        </w:tc>
      </w:tr>
      <w:tr w:rsidR="008F65DC" w:rsidRPr="00A965E0" w:rsidTr="00737F19">
        <w:tc>
          <w:tcPr>
            <w:tcW w:w="1627" w:type="dxa"/>
            <w:shd w:val="clear" w:color="auto" w:fill="auto"/>
          </w:tcPr>
          <w:p w:rsidR="008F65DC" w:rsidRDefault="008F65DC" w:rsidP="001778F1">
            <w:pPr>
              <w:ind w:left="34"/>
            </w:pPr>
            <w:r w:rsidRPr="00711F8D">
              <w:t>Yürürlüğe Giriş</w:t>
            </w:r>
          </w:p>
        </w:tc>
        <w:tc>
          <w:tcPr>
            <w:tcW w:w="7875" w:type="dxa"/>
            <w:gridSpan w:val="6"/>
            <w:shd w:val="clear" w:color="auto" w:fill="auto"/>
          </w:tcPr>
          <w:p w:rsidR="008F65DC" w:rsidRPr="00BA1A21" w:rsidRDefault="008F65DC" w:rsidP="008F65DC">
            <w:pPr>
              <w:jc w:val="both"/>
            </w:pPr>
            <w:r>
              <w:t xml:space="preserve">4. </w:t>
            </w:r>
            <w:r w:rsidRPr="00711F8D">
              <w:t>Bu Yasa, Resmi Gazete’de yayımlandığı tarihten başlayarak yürürlüğe girer</w:t>
            </w:r>
            <w:r>
              <w:t>.</w:t>
            </w:r>
          </w:p>
        </w:tc>
      </w:tr>
    </w:tbl>
    <w:p w:rsidR="005E33D7" w:rsidRDefault="005E33D7" w:rsidP="005E33D7"/>
    <w:p w:rsidR="009B1545" w:rsidRDefault="009B1545"/>
    <w:sectPr w:rsidR="009B1545" w:rsidSect="00D57E3E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064" w:rsidRDefault="00574064" w:rsidP="00D57E3E">
      <w:r>
        <w:separator/>
      </w:r>
    </w:p>
  </w:endnote>
  <w:endnote w:type="continuationSeparator" w:id="0">
    <w:p w:rsidR="00574064" w:rsidRDefault="00574064" w:rsidP="00D57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35955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57E3E" w:rsidRDefault="00D57E3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383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57E3E" w:rsidRDefault="00D57E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064" w:rsidRDefault="00574064" w:rsidP="00D57E3E">
      <w:r>
        <w:separator/>
      </w:r>
    </w:p>
  </w:footnote>
  <w:footnote w:type="continuationSeparator" w:id="0">
    <w:p w:rsidR="00574064" w:rsidRDefault="00574064" w:rsidP="00D57E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364BA"/>
    <w:multiLevelType w:val="hybridMultilevel"/>
    <w:tmpl w:val="D29C6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983D3A"/>
    <w:multiLevelType w:val="hybridMultilevel"/>
    <w:tmpl w:val="09C4F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1E3"/>
    <w:rsid w:val="00103F11"/>
    <w:rsid w:val="00133B24"/>
    <w:rsid w:val="001778F1"/>
    <w:rsid w:val="001A69F6"/>
    <w:rsid w:val="00241632"/>
    <w:rsid w:val="0024328A"/>
    <w:rsid w:val="002768B6"/>
    <w:rsid w:val="002D745A"/>
    <w:rsid w:val="004F11E3"/>
    <w:rsid w:val="005576D5"/>
    <w:rsid w:val="00574064"/>
    <w:rsid w:val="005B0E81"/>
    <w:rsid w:val="005E33D7"/>
    <w:rsid w:val="00607D64"/>
    <w:rsid w:val="006F087B"/>
    <w:rsid w:val="00701803"/>
    <w:rsid w:val="00742055"/>
    <w:rsid w:val="0083321B"/>
    <w:rsid w:val="0087529B"/>
    <w:rsid w:val="008C557F"/>
    <w:rsid w:val="008D038B"/>
    <w:rsid w:val="008E3837"/>
    <w:rsid w:val="008F5038"/>
    <w:rsid w:val="008F65DC"/>
    <w:rsid w:val="009B1545"/>
    <w:rsid w:val="009C1A0E"/>
    <w:rsid w:val="00A75907"/>
    <w:rsid w:val="00A81370"/>
    <w:rsid w:val="00AD42BD"/>
    <w:rsid w:val="00BA5CF9"/>
    <w:rsid w:val="00BF398D"/>
    <w:rsid w:val="00C45883"/>
    <w:rsid w:val="00CF0C22"/>
    <w:rsid w:val="00D04A06"/>
    <w:rsid w:val="00D41200"/>
    <w:rsid w:val="00D57E3E"/>
    <w:rsid w:val="00DA7E00"/>
    <w:rsid w:val="00E372E3"/>
    <w:rsid w:val="00EA5A5F"/>
    <w:rsid w:val="00F97B3F"/>
    <w:rsid w:val="00FB7745"/>
    <w:rsid w:val="00FC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03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38B"/>
    <w:rPr>
      <w:rFonts w:ascii="Segoe UI" w:eastAsia="Times New Roman" w:hAnsi="Segoe UI" w:cs="Segoe UI"/>
      <w:sz w:val="18"/>
      <w:szCs w:val="18"/>
      <w:lang w:eastAsia="tr-TR"/>
    </w:rPr>
  </w:style>
  <w:style w:type="paragraph" w:styleId="ListParagraph">
    <w:name w:val="List Paragraph"/>
    <w:basedOn w:val="Normal"/>
    <w:uiPriority w:val="34"/>
    <w:qFormat/>
    <w:rsid w:val="001778F1"/>
    <w:pPr>
      <w:ind w:left="720"/>
      <w:contextualSpacing/>
    </w:pPr>
  </w:style>
  <w:style w:type="table" w:styleId="TableGrid">
    <w:name w:val="Table Grid"/>
    <w:basedOn w:val="TableNormal"/>
    <w:uiPriority w:val="39"/>
    <w:qFormat/>
    <w:rsid w:val="00241632"/>
    <w:pPr>
      <w:spacing w:after="0" w:line="240" w:lineRule="auto"/>
    </w:pPr>
    <w:rPr>
      <w:rFonts w:eastAsiaTheme="minorEastAsia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57E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7E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D57E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7E3E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03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38B"/>
    <w:rPr>
      <w:rFonts w:ascii="Segoe UI" w:eastAsia="Times New Roman" w:hAnsi="Segoe UI" w:cs="Segoe UI"/>
      <w:sz w:val="18"/>
      <w:szCs w:val="18"/>
      <w:lang w:eastAsia="tr-TR"/>
    </w:rPr>
  </w:style>
  <w:style w:type="paragraph" w:styleId="ListParagraph">
    <w:name w:val="List Paragraph"/>
    <w:basedOn w:val="Normal"/>
    <w:uiPriority w:val="34"/>
    <w:qFormat/>
    <w:rsid w:val="001778F1"/>
    <w:pPr>
      <w:ind w:left="720"/>
      <w:contextualSpacing/>
    </w:pPr>
  </w:style>
  <w:style w:type="table" w:styleId="TableGrid">
    <w:name w:val="Table Grid"/>
    <w:basedOn w:val="TableNormal"/>
    <w:uiPriority w:val="39"/>
    <w:qFormat/>
    <w:rsid w:val="00241632"/>
    <w:pPr>
      <w:spacing w:after="0" w:line="240" w:lineRule="auto"/>
    </w:pPr>
    <w:rPr>
      <w:rFonts w:eastAsiaTheme="minorEastAsia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57E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7E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D57E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7E3E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2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3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502</Words>
  <Characters>2867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DeboMac</dc:creator>
  <cp:lastModifiedBy>Sinem01 Demirgil</cp:lastModifiedBy>
  <cp:revision>3</cp:revision>
  <cp:lastPrinted>2023-03-03T09:26:00Z</cp:lastPrinted>
  <dcterms:created xsi:type="dcterms:W3CDTF">2023-03-28T10:30:00Z</dcterms:created>
  <dcterms:modified xsi:type="dcterms:W3CDTF">2023-03-28T10:37:00Z</dcterms:modified>
</cp:coreProperties>
</file>