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22" w:rsidRDefault="00754022" w:rsidP="00754022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55C2">
        <w:rPr>
          <w:rFonts w:ascii="Times New Roman" w:hAnsi="Times New Roman"/>
          <w:sz w:val="24"/>
          <w:szCs w:val="24"/>
        </w:rPr>
        <w:t>Kuzey Kıbrıs Türk Cumhuriyeti Cumhuriyet Meclisi’nin 25 Ağustos 2023 tarihli Altıncı Olağanüstü Birleşiminde Oybirliğiyle kabul olunan “</w:t>
      </w:r>
      <w:r w:rsidRPr="006D75E0">
        <w:rPr>
          <w:rFonts w:ascii="Times New Roman" w:hAnsi="Times New Roman" w:cs="Times New Roman"/>
          <w:sz w:val="24"/>
          <w:szCs w:val="24"/>
          <w:lang w:eastAsia="tr-TR"/>
        </w:rPr>
        <w:t xml:space="preserve">Belediyelerin Birleştirilmesine İlişkin </w:t>
      </w:r>
      <w:r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Pr="006D75E0">
        <w:rPr>
          <w:rFonts w:ascii="Times New Roman" w:hAnsi="Times New Roman" w:cs="Times New Roman"/>
          <w:sz w:val="24"/>
          <w:szCs w:val="24"/>
          <w:lang w:eastAsia="tr-TR"/>
        </w:rPr>
        <w:t>Özel</w:t>
      </w:r>
      <w:r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Pr="006D75E0">
        <w:rPr>
          <w:rFonts w:ascii="Times New Roman" w:hAnsi="Times New Roman" w:cs="Times New Roman"/>
          <w:sz w:val="24"/>
          <w:szCs w:val="24"/>
          <w:lang w:eastAsia="tr-TR"/>
        </w:rPr>
        <w:t xml:space="preserve"> (Değişiklik) </w:t>
      </w:r>
      <w:r w:rsidRPr="002E55C2">
        <w:rPr>
          <w:rFonts w:ascii="Times New Roman" w:hAnsi="Times New Roman"/>
          <w:sz w:val="24"/>
          <w:szCs w:val="24"/>
        </w:rPr>
        <w:t>Yasası” Anayasanın 94'üncü maddesinin (1)'inci fıkrası gereğince Kuzey Kıbrıs Türk Cumhuriyeti Cumhurbaşkanı tarafından Resmi Gazete'de yayımlanmak suretiyle ilan olunur.</w:t>
      </w:r>
      <w:r w:rsidRPr="002E55C2">
        <w:rPr>
          <w:rFonts w:ascii="Times New Roman" w:hAnsi="Times New Roman"/>
          <w:sz w:val="24"/>
          <w:szCs w:val="24"/>
        </w:rPr>
        <w:tab/>
      </w:r>
    </w:p>
    <w:p w:rsidR="00754022" w:rsidRDefault="00754022" w:rsidP="00754022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</w:p>
    <w:p w:rsidR="00754022" w:rsidRDefault="00754022" w:rsidP="00754022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Sayı: 48</w:t>
      </w:r>
      <w:r w:rsidRPr="002E55C2">
        <w:rPr>
          <w:rFonts w:ascii="Times New Roman" w:hAnsi="Times New Roman"/>
          <w:sz w:val="24"/>
          <w:szCs w:val="24"/>
        </w:rPr>
        <w:t>/2023</w:t>
      </w:r>
    </w:p>
    <w:p w:rsidR="00754022" w:rsidRDefault="00754022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50"/>
        <w:gridCol w:w="180"/>
        <w:gridCol w:w="1710"/>
        <w:gridCol w:w="90"/>
        <w:gridCol w:w="630"/>
        <w:gridCol w:w="720"/>
        <w:gridCol w:w="3780"/>
      </w:tblGrid>
      <w:tr w:rsidR="00B26A5A" w:rsidRPr="006D75E0" w:rsidTr="00C768E8">
        <w:tc>
          <w:tcPr>
            <w:tcW w:w="9288" w:type="dxa"/>
            <w:gridSpan w:val="8"/>
          </w:tcPr>
          <w:p w:rsidR="00B55072" w:rsidRDefault="00B26A5A" w:rsidP="00B2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 xml:space="preserve">BELEDİYELERİN BİRLEŞTİRİLMESİNE İLİŞKİN </w:t>
            </w:r>
            <w:r w:rsidR="00F821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r w:rsidR="00F82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 xml:space="preserve"> (DEĞİŞİKLİK)</w:t>
            </w:r>
          </w:p>
          <w:p w:rsidR="00B26A5A" w:rsidRPr="001C393A" w:rsidRDefault="00B55072" w:rsidP="00B2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A5A" w:rsidRPr="001C393A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 w:rsidR="00C20FE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46443E" w:rsidRPr="006D75E0" w:rsidRDefault="0046443E" w:rsidP="00B2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E8" w:rsidRPr="006D75E0" w:rsidTr="00C768E8">
        <w:tc>
          <w:tcPr>
            <w:tcW w:w="1728" w:type="dxa"/>
          </w:tcPr>
          <w:p w:rsidR="00C768E8" w:rsidRPr="006D75E0" w:rsidRDefault="00C768E8" w:rsidP="00B2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7"/>
          </w:tcPr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        Kuzey Kıbrıs Türk Cumhuriyeti Cumhuriyet Meclisi aşağıdaki Yasayı yapar:</w:t>
            </w:r>
          </w:p>
        </w:tc>
      </w:tr>
      <w:tr w:rsidR="00C768E8" w:rsidRPr="006D75E0" w:rsidTr="00C768E8">
        <w:tc>
          <w:tcPr>
            <w:tcW w:w="1728" w:type="dxa"/>
          </w:tcPr>
          <w:p w:rsidR="00C768E8" w:rsidRPr="006D75E0" w:rsidRDefault="00C768E8" w:rsidP="00B2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7"/>
          </w:tcPr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E8" w:rsidRPr="006D75E0" w:rsidTr="00C768E8">
        <w:tc>
          <w:tcPr>
            <w:tcW w:w="1728" w:type="dxa"/>
          </w:tcPr>
          <w:p w:rsidR="00C768E8" w:rsidRPr="006D75E0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15/2022</w:t>
            </w:r>
          </w:p>
          <w:p w:rsidR="00F1002D" w:rsidRPr="006D75E0" w:rsidRDefault="00F1002D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28/2022</w:t>
            </w:r>
          </w:p>
        </w:tc>
        <w:tc>
          <w:tcPr>
            <w:tcW w:w="7560" w:type="dxa"/>
            <w:gridSpan w:val="7"/>
          </w:tcPr>
          <w:p w:rsidR="00C768E8" w:rsidRPr="006D75E0" w:rsidRDefault="00C768E8" w:rsidP="00F1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 Yasa, Belediyelerin Birleştirilmesine İlişkin </w:t>
            </w:r>
            <w:r w:rsidR="000B176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6D75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Özel</w:t>
            </w:r>
            <w:r w:rsidR="000B176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6D75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(Değişiklik) Yasası olarak isimlendirilir ve aşağıda “Esas Yasa” olarak anılan, Belediyelerin Birleştirilmesine İlişkin Özel Yasa ile birlikte okunur.</w:t>
            </w:r>
          </w:p>
        </w:tc>
      </w:tr>
      <w:tr w:rsidR="00C768E8" w:rsidRPr="006D75E0" w:rsidTr="00C768E8">
        <w:tc>
          <w:tcPr>
            <w:tcW w:w="1728" w:type="dxa"/>
          </w:tcPr>
          <w:p w:rsidR="00C768E8" w:rsidRPr="006D75E0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7"/>
          </w:tcPr>
          <w:p w:rsidR="00C768E8" w:rsidRPr="006D75E0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E8" w:rsidRPr="006D75E0" w:rsidTr="00C768E8">
        <w:tc>
          <w:tcPr>
            <w:tcW w:w="1728" w:type="dxa"/>
          </w:tcPr>
          <w:p w:rsidR="00C768E8" w:rsidRPr="006D75E0" w:rsidRDefault="00C768E8" w:rsidP="00D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Esas Yasaya Yeni </w:t>
            </w:r>
          </w:p>
        </w:tc>
        <w:tc>
          <w:tcPr>
            <w:tcW w:w="7560" w:type="dxa"/>
            <w:gridSpan w:val="7"/>
          </w:tcPr>
          <w:p w:rsidR="00C768E8" w:rsidRPr="006D75E0" w:rsidRDefault="00C768E8" w:rsidP="00DB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2. Esas Yasa, Geçici </w:t>
            </w:r>
            <w:r w:rsidR="00DB6F28">
              <w:rPr>
                <w:rFonts w:ascii="Times New Roman" w:hAnsi="Times New Roman" w:cs="Times New Roman"/>
                <w:sz w:val="24"/>
                <w:szCs w:val="24"/>
              </w:rPr>
              <w:t xml:space="preserve">1’inci Maddesinden hemen 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sonra aşağıdaki yeni Geçici 1A </w:t>
            </w:r>
            <w:r w:rsidR="00DB6F28">
              <w:rPr>
                <w:rFonts w:ascii="Times New Roman" w:hAnsi="Times New Roman" w:cs="Times New Roman"/>
                <w:sz w:val="24"/>
                <w:szCs w:val="24"/>
              </w:rPr>
              <w:t xml:space="preserve">Maddesi eklenmek 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 suretiyle değiştirilir:</w:t>
            </w:r>
          </w:p>
        </w:tc>
      </w:tr>
      <w:tr w:rsidR="00DB6F28" w:rsidRPr="006D75E0" w:rsidTr="00C768E8">
        <w:tc>
          <w:tcPr>
            <w:tcW w:w="1728" w:type="dxa"/>
          </w:tcPr>
          <w:p w:rsidR="00DB6F28" w:rsidRDefault="00DB6F28" w:rsidP="00D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28">
              <w:rPr>
                <w:rFonts w:ascii="Times New Roman" w:hAnsi="Times New Roman" w:cs="Times New Roman"/>
                <w:sz w:val="24"/>
                <w:szCs w:val="24"/>
              </w:rPr>
              <w:t>Geçici 1A</w:t>
            </w:r>
          </w:p>
        </w:tc>
        <w:tc>
          <w:tcPr>
            <w:tcW w:w="7560" w:type="dxa"/>
            <w:gridSpan w:val="7"/>
          </w:tcPr>
          <w:p w:rsidR="00DB6F28" w:rsidRPr="00C768E8" w:rsidRDefault="00DB6F2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E8" w:rsidRPr="006D75E0" w:rsidTr="00C768E8">
        <w:tc>
          <w:tcPr>
            <w:tcW w:w="1728" w:type="dxa"/>
          </w:tcPr>
          <w:p w:rsidR="00DB6F28" w:rsidRDefault="00DB6F2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28">
              <w:rPr>
                <w:rFonts w:ascii="Times New Roman" w:hAnsi="Times New Roman" w:cs="Times New Roman"/>
                <w:sz w:val="24"/>
                <w:szCs w:val="24"/>
              </w:rPr>
              <w:t>Maddesinin</w:t>
            </w:r>
          </w:p>
          <w:p w:rsid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>Eklenmesi</w:t>
            </w:r>
          </w:p>
        </w:tc>
        <w:tc>
          <w:tcPr>
            <w:tcW w:w="630" w:type="dxa"/>
            <w:gridSpan w:val="2"/>
          </w:tcPr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“Geçici Madde</w:t>
            </w:r>
          </w:p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Belediye Başkanı </w:t>
            </w:r>
          </w:p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Seçilmesi </w:t>
            </w:r>
          </w:p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Nedeniyle </w:t>
            </w:r>
          </w:p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31.12.2010 Tarihine </w:t>
            </w:r>
          </w:p>
          <w:p w:rsidR="00C768E8" w:rsidRPr="00C768E8" w:rsidRDefault="00C768E8" w:rsidP="00D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Kadar İntibakı </w:t>
            </w:r>
          </w:p>
        </w:tc>
        <w:tc>
          <w:tcPr>
            <w:tcW w:w="5130" w:type="dxa"/>
            <w:gridSpan w:val="3"/>
          </w:tcPr>
          <w:p w:rsidR="00C768E8" w:rsidRPr="00C768E8" w:rsidRDefault="00C768E8" w:rsidP="004E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1A. 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Belediye Başkanı olması nedeniyle Belediye Personel Yasasının Geçici 2’nci Maddesi uyarınca oluşturulan </w:t>
            </w:r>
            <w:r w:rsidR="003C089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ntibak </w:t>
            </w:r>
            <w:r w:rsidR="003C08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>omisyonu tarafından 31.12.2010 tarihine kadar intibakı yapılamayan belediye personelinin intibakı</w:t>
            </w:r>
            <w:r w:rsidR="00DB6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r w:rsidR="00DB6F2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asanın </w:t>
            </w:r>
            <w:r w:rsidR="00DB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Geçici 1’inci </w:t>
            </w:r>
            <w:r w:rsidR="00DB6F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addesi uyarınca oluşturulan </w:t>
            </w:r>
            <w:r w:rsidR="00DB6F28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 xml:space="preserve">ntibak </w:t>
            </w:r>
            <w:r w:rsidR="00DB6F2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>omisyonu tarafından aşağıdaki kurallar çerçevesinde yapılır:</w:t>
            </w:r>
          </w:p>
        </w:tc>
      </w:tr>
      <w:tr w:rsidR="00C768E8" w:rsidRPr="006D75E0" w:rsidTr="00C768E8">
        <w:tc>
          <w:tcPr>
            <w:tcW w:w="1728" w:type="dxa"/>
          </w:tcPr>
          <w:p w:rsidR="00C768E8" w:rsidRP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B6F28" w:rsidRDefault="00DB6F2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28">
              <w:rPr>
                <w:rFonts w:ascii="Times New Roman" w:hAnsi="Times New Roman" w:cs="Times New Roman"/>
                <w:sz w:val="24"/>
                <w:szCs w:val="24"/>
              </w:rPr>
              <w:t>Yapılamayan</w:t>
            </w:r>
          </w:p>
          <w:p w:rsid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>Belediye Personelinin İntibakının Yapılması İle İlgili Kurallar</w:t>
            </w:r>
          </w:p>
          <w:p w:rsidR="00C768E8" w:rsidRP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>65/2007</w:t>
            </w:r>
          </w:p>
          <w:p w:rsidR="00C768E8" w:rsidRP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>27/2009</w:t>
            </w:r>
          </w:p>
          <w:p w:rsid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68E8">
              <w:rPr>
                <w:rFonts w:ascii="Times New Roman" w:hAnsi="Times New Roman" w:cs="Times New Roman"/>
                <w:sz w:val="24"/>
                <w:szCs w:val="24"/>
              </w:rPr>
              <w:t>26/2010</w:t>
            </w:r>
          </w:p>
        </w:tc>
        <w:tc>
          <w:tcPr>
            <w:tcW w:w="630" w:type="dxa"/>
          </w:tcPr>
          <w:p w:rsidR="00C768E8" w:rsidRPr="006D75E0" w:rsidRDefault="00C768E8" w:rsidP="00C7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500" w:type="dxa"/>
            <w:gridSpan w:val="2"/>
          </w:tcPr>
          <w:p w:rsidR="00C768E8" w:rsidRPr="006D75E0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Belediye Personel Yasasında öngörülen sınıflara intibak yapılırken mevcut kadrolar ve bu kadrolarda atama yolu ile çalışan </w:t>
            </w:r>
            <w:r w:rsidR="004E61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elediye personeli ile bu kadrolarda vekaleten görevlendirmeye dayanarak fiilen ve/veya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vekaleten 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çalışmış olan </w:t>
            </w:r>
            <w:r w:rsidR="004E61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elediye personeli</w:t>
            </w:r>
            <w:r w:rsidR="005C4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 ilişkin oldukları sınıflara dahil edilir.  </w:t>
            </w:r>
          </w:p>
          <w:p w:rsidR="00C768E8" w:rsidRPr="006D75E0" w:rsidRDefault="005C486E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8E8"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Ancak intibak işlemleri yapılırken bu kadrolarda vekaleten görevlendirmeye dayanarak fiilen ve/veya vekaleten çalışmış olan </w:t>
            </w:r>
            <w:r w:rsidR="004E61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768E8" w:rsidRPr="006D75E0">
              <w:rPr>
                <w:rFonts w:ascii="Times New Roman" w:hAnsi="Times New Roman" w:cs="Times New Roman"/>
                <w:sz w:val="24"/>
                <w:szCs w:val="24"/>
              </w:rPr>
              <w:t>elediye personelinin, yapılan görevin maaşını çekip çekmediğine veya emeklilik iştirak payının yatırılmış olup olmadığına bakılmaz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C768E8"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 intibakı yapılırken daha yüksek menfaat sağlayan kadroya intibakı öncelikle yapılır.</w:t>
            </w:r>
          </w:p>
          <w:p w:rsidR="00C768E8" w:rsidRPr="006D75E0" w:rsidRDefault="005C486E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68E8"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İntibak işlemleri yapılırken, sınıflar için öngörülen öğrenim koşuluna bakılmaksızın </w:t>
            </w:r>
            <w:r w:rsidR="00C768E8" w:rsidRPr="006D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kazanılmış haklar göz önünde bulundurulur.</w:t>
            </w:r>
          </w:p>
        </w:tc>
      </w:tr>
      <w:tr w:rsidR="00C768E8" w:rsidRPr="006D75E0" w:rsidTr="00C768E8">
        <w:tc>
          <w:tcPr>
            <w:tcW w:w="1728" w:type="dxa"/>
          </w:tcPr>
          <w:p w:rsidR="00C768E8" w:rsidRP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30" w:type="dxa"/>
            <w:gridSpan w:val="2"/>
          </w:tcPr>
          <w:p w:rsidR="00C768E8" w:rsidRPr="00C768E8" w:rsidRDefault="00C768E8" w:rsidP="00C7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C768E8" w:rsidRPr="00C768E8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768E8" w:rsidRPr="006D75E0" w:rsidRDefault="00C768E8" w:rsidP="00C7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00" w:type="dxa"/>
            <w:gridSpan w:val="2"/>
          </w:tcPr>
          <w:p w:rsidR="00C768E8" w:rsidRPr="006D75E0" w:rsidRDefault="00C768E8" w:rsidP="004E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İntibak işlemleri yapılırken, </w:t>
            </w:r>
            <w:r w:rsidR="003C0891" w:rsidRPr="003C0891">
              <w:rPr>
                <w:rFonts w:ascii="Times New Roman" w:hAnsi="Times New Roman" w:cs="Times New Roman"/>
                <w:sz w:val="24"/>
                <w:szCs w:val="24"/>
              </w:rPr>
              <w:t>Belediye Personel Yasası</w:t>
            </w:r>
            <w:r w:rsidR="003C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ile saptanan sınıfların hangisine dahil olacağı açıkça belli olmayan kadrolarda çalışan </w:t>
            </w:r>
            <w:r w:rsidR="004E61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elediye personeli, bu kadrolar için gerekli öğrenim ve hizmetin özellikleri dikkate alınarak uygun düşen  sınıflara dahil edilirler.</w:t>
            </w:r>
          </w:p>
        </w:tc>
      </w:tr>
      <w:tr w:rsidR="00183C85" w:rsidRPr="006D75E0" w:rsidTr="000D4BB1">
        <w:tc>
          <w:tcPr>
            <w:tcW w:w="1728" w:type="dxa"/>
          </w:tcPr>
          <w:p w:rsidR="00183C85" w:rsidRPr="00C768E8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83C85" w:rsidRPr="00C768E8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83C85" w:rsidRPr="00C768E8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500" w:type="dxa"/>
            <w:gridSpan w:val="2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İntibak yapılan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elediye personeli bulunduğu baremin kaçıncı kademesinde ise intibak ettirileceği baremin ona karşılık olan kademesine intibak ettirilir.</w:t>
            </w:r>
          </w:p>
        </w:tc>
      </w:tr>
      <w:tr w:rsidR="00183C85" w:rsidRPr="006D75E0" w:rsidTr="000D4BB1">
        <w:tc>
          <w:tcPr>
            <w:tcW w:w="1728" w:type="dxa"/>
          </w:tcPr>
          <w:p w:rsidR="00183C85" w:rsidRPr="00C768E8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83C85" w:rsidRPr="00C768E8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83C85" w:rsidRPr="00C768E8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500" w:type="dxa"/>
            <w:gridSpan w:val="2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Bu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 yürürlüğe girdiği tarihten önce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elediye personelinin tayinli bulunduğu en son kadrodaki baremi, aynı kadronun ismi değiştirilerek veya değiştirilmeden revize edilmiş ve revizyon neticesi yeni barem içerisinde barem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intibakları yapılmamış ise, bu 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 xml:space="preserve">Yasa ile intibaklar yapılırken böyle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elediye personelinin eski bareminde kazanılmış barem içi artışları dikkate alınır.”</w:t>
            </w:r>
          </w:p>
        </w:tc>
      </w:tr>
      <w:tr w:rsidR="00183C85" w:rsidRPr="006D75E0" w:rsidTr="000D4BB1">
        <w:tc>
          <w:tcPr>
            <w:tcW w:w="1728" w:type="dxa"/>
          </w:tcPr>
          <w:p w:rsidR="00183C85" w:rsidRPr="00C768E8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83C85" w:rsidRPr="00C768E8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83C85" w:rsidRPr="00C768E8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85" w:rsidRPr="006D75E0" w:rsidTr="000D4BB1">
        <w:tc>
          <w:tcPr>
            <w:tcW w:w="1728" w:type="dxa"/>
          </w:tcPr>
          <w:p w:rsidR="00183C85" w:rsidRPr="00C768E8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Esas Yasaya Yeni Geçici </w:t>
            </w:r>
          </w:p>
        </w:tc>
        <w:tc>
          <w:tcPr>
            <w:tcW w:w="7560" w:type="dxa"/>
            <w:gridSpan w:val="7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Esas Yasa, 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 xml:space="preserve">Geçici 7’nci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Maddesinden hemen sonra aşağıdaki 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Geçici 8’inci Madde eklenmek suretiyle 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değiştirilir:</w:t>
            </w:r>
          </w:p>
        </w:tc>
      </w:tr>
      <w:tr w:rsidR="00183C85" w:rsidTr="000D4BB1">
        <w:tc>
          <w:tcPr>
            <w:tcW w:w="1728" w:type="dxa"/>
          </w:tcPr>
          <w:p w:rsidR="00183C85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8’inci</w:t>
            </w:r>
          </w:p>
        </w:tc>
        <w:tc>
          <w:tcPr>
            <w:tcW w:w="3780" w:type="dxa"/>
            <w:gridSpan w:val="6"/>
          </w:tcPr>
          <w:p w:rsidR="00183C85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83C85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85" w:rsidRPr="006D75E0" w:rsidTr="000D4BB1">
        <w:trPr>
          <w:trHeight w:val="878"/>
        </w:trPr>
        <w:tc>
          <w:tcPr>
            <w:tcW w:w="1728" w:type="dxa"/>
          </w:tcPr>
          <w:p w:rsidR="00183C85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Maddenin Eklenmesi</w:t>
            </w:r>
          </w:p>
        </w:tc>
        <w:tc>
          <w:tcPr>
            <w:tcW w:w="450" w:type="dxa"/>
          </w:tcPr>
          <w:p w:rsidR="00183C85" w:rsidRPr="00C768E8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83C85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“Geçici Madde</w:t>
            </w:r>
          </w:p>
          <w:p w:rsidR="00183C85" w:rsidRPr="001C393A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İnşaat 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Ruhsat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 xml:space="preserve"> Verme </w:t>
            </w:r>
          </w:p>
          <w:p w:rsidR="00183C85" w:rsidRPr="00C768E8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Yetkisi</w:t>
            </w:r>
          </w:p>
        </w:tc>
        <w:tc>
          <w:tcPr>
            <w:tcW w:w="5220" w:type="dxa"/>
            <w:gridSpan w:val="4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eni bir tüzel kişilik altında birleş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tirilen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 xml:space="preserve"> belediyeler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C393A">
              <w:rPr>
                <w:rFonts w:ascii="Times New Roman" w:hAnsi="Times New Roman" w:cs="Times New Roman"/>
                <w:sz w:val="24"/>
                <w:szCs w:val="24"/>
              </w:rPr>
              <w:t>asa ile kendilerine bağlanan yerleşim yerlerine de inşaat ruhsatı verir.”</w:t>
            </w:r>
          </w:p>
        </w:tc>
      </w:tr>
      <w:tr w:rsidR="00183C85" w:rsidTr="000D4BB1">
        <w:tc>
          <w:tcPr>
            <w:tcW w:w="1728" w:type="dxa"/>
          </w:tcPr>
          <w:p w:rsidR="00183C85" w:rsidRPr="001C393A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83C85" w:rsidRPr="00C768E8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83C85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:rsidR="00183C85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85" w:rsidRPr="006D75E0" w:rsidTr="000D4BB1">
        <w:tc>
          <w:tcPr>
            <w:tcW w:w="1728" w:type="dxa"/>
          </w:tcPr>
          <w:p w:rsidR="00183C85" w:rsidRPr="006D75E0" w:rsidRDefault="00183C85" w:rsidP="000D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560" w:type="dxa"/>
            <w:gridSpan w:val="7"/>
          </w:tcPr>
          <w:p w:rsidR="00183C85" w:rsidRPr="006D75E0" w:rsidRDefault="00183C85" w:rsidP="000D4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E0"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>Bu Yasa, Resmi Gazete’de yayımlandığı tarihten başlayarak yürürlüğe girer.</w:t>
            </w:r>
          </w:p>
        </w:tc>
      </w:tr>
    </w:tbl>
    <w:p w:rsidR="005F74D0" w:rsidRDefault="005F74D0"/>
    <w:p w:rsidR="00B26A5A" w:rsidRPr="006D75E0" w:rsidRDefault="00B26A5A" w:rsidP="00B26A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A5A" w:rsidRPr="006D75E0" w:rsidSect="00C20F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5C" w:rsidRDefault="005A435C" w:rsidP="001C393A">
      <w:pPr>
        <w:spacing w:after="0" w:line="240" w:lineRule="auto"/>
      </w:pPr>
      <w:r>
        <w:separator/>
      </w:r>
    </w:p>
  </w:endnote>
  <w:endnote w:type="continuationSeparator" w:id="0">
    <w:p w:rsidR="005A435C" w:rsidRDefault="005A435C" w:rsidP="001C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47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E4F" w:rsidRDefault="00E51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E4F" w:rsidRDefault="00E51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E3" w:rsidRDefault="00C20FE3">
    <w:pPr>
      <w:pStyle w:val="Footer"/>
      <w:jc w:val="center"/>
    </w:pPr>
  </w:p>
  <w:p w:rsidR="00C20FE3" w:rsidRDefault="00C20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5C" w:rsidRDefault="005A435C" w:rsidP="001C393A">
      <w:pPr>
        <w:spacing w:after="0" w:line="240" w:lineRule="auto"/>
      </w:pPr>
      <w:r>
        <w:separator/>
      </w:r>
    </w:p>
  </w:footnote>
  <w:footnote w:type="continuationSeparator" w:id="0">
    <w:p w:rsidR="005A435C" w:rsidRDefault="005A435C" w:rsidP="001C3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4D"/>
    <w:rsid w:val="00050DD7"/>
    <w:rsid w:val="000814BF"/>
    <w:rsid w:val="000908E9"/>
    <w:rsid w:val="000947F1"/>
    <w:rsid w:val="000B1763"/>
    <w:rsid w:val="000B417B"/>
    <w:rsid w:val="001044C9"/>
    <w:rsid w:val="00123A21"/>
    <w:rsid w:val="00130551"/>
    <w:rsid w:val="00183C85"/>
    <w:rsid w:val="001C393A"/>
    <w:rsid w:val="001E2B10"/>
    <w:rsid w:val="001F5D8B"/>
    <w:rsid w:val="00224746"/>
    <w:rsid w:val="002D7CA3"/>
    <w:rsid w:val="002F3998"/>
    <w:rsid w:val="002F71E5"/>
    <w:rsid w:val="00370DDF"/>
    <w:rsid w:val="00373544"/>
    <w:rsid w:val="003807F7"/>
    <w:rsid w:val="003C0891"/>
    <w:rsid w:val="003F487B"/>
    <w:rsid w:val="0041405D"/>
    <w:rsid w:val="0044265C"/>
    <w:rsid w:val="0046443E"/>
    <w:rsid w:val="004709E2"/>
    <w:rsid w:val="004E1BE3"/>
    <w:rsid w:val="004E6102"/>
    <w:rsid w:val="0051061D"/>
    <w:rsid w:val="0051694E"/>
    <w:rsid w:val="005A435C"/>
    <w:rsid w:val="005C486E"/>
    <w:rsid w:val="005D52AB"/>
    <w:rsid w:val="005F74D0"/>
    <w:rsid w:val="00613762"/>
    <w:rsid w:val="006336E8"/>
    <w:rsid w:val="00644F2B"/>
    <w:rsid w:val="006504F7"/>
    <w:rsid w:val="006B74DA"/>
    <w:rsid w:val="006D75E0"/>
    <w:rsid w:val="006F11AE"/>
    <w:rsid w:val="007132D5"/>
    <w:rsid w:val="00721FCB"/>
    <w:rsid w:val="00736000"/>
    <w:rsid w:val="0074494A"/>
    <w:rsid w:val="00754022"/>
    <w:rsid w:val="00823A76"/>
    <w:rsid w:val="0086285E"/>
    <w:rsid w:val="0087379A"/>
    <w:rsid w:val="008B4F04"/>
    <w:rsid w:val="009157FB"/>
    <w:rsid w:val="00920078"/>
    <w:rsid w:val="00930541"/>
    <w:rsid w:val="00976E57"/>
    <w:rsid w:val="009922D6"/>
    <w:rsid w:val="00994D49"/>
    <w:rsid w:val="009E100F"/>
    <w:rsid w:val="00A210C0"/>
    <w:rsid w:val="00A3418C"/>
    <w:rsid w:val="00AE4E1B"/>
    <w:rsid w:val="00B1645C"/>
    <w:rsid w:val="00B26A5A"/>
    <w:rsid w:val="00B55072"/>
    <w:rsid w:val="00B82E74"/>
    <w:rsid w:val="00B87404"/>
    <w:rsid w:val="00BF3727"/>
    <w:rsid w:val="00C20FE3"/>
    <w:rsid w:val="00C249AD"/>
    <w:rsid w:val="00C260E4"/>
    <w:rsid w:val="00C477CC"/>
    <w:rsid w:val="00C636DA"/>
    <w:rsid w:val="00C671D7"/>
    <w:rsid w:val="00C70E5D"/>
    <w:rsid w:val="00C768E8"/>
    <w:rsid w:val="00C81DBC"/>
    <w:rsid w:val="00CB4D43"/>
    <w:rsid w:val="00CC68C6"/>
    <w:rsid w:val="00CE33F1"/>
    <w:rsid w:val="00D027D2"/>
    <w:rsid w:val="00D33C7F"/>
    <w:rsid w:val="00DA4D4D"/>
    <w:rsid w:val="00DB6F28"/>
    <w:rsid w:val="00DC0145"/>
    <w:rsid w:val="00DD3B28"/>
    <w:rsid w:val="00DD58B6"/>
    <w:rsid w:val="00DE7850"/>
    <w:rsid w:val="00E32F51"/>
    <w:rsid w:val="00E50B46"/>
    <w:rsid w:val="00E51E4F"/>
    <w:rsid w:val="00EF2FCB"/>
    <w:rsid w:val="00F1002D"/>
    <w:rsid w:val="00F13A82"/>
    <w:rsid w:val="00F310DE"/>
    <w:rsid w:val="00F373B2"/>
    <w:rsid w:val="00F41484"/>
    <w:rsid w:val="00F45273"/>
    <w:rsid w:val="00F55346"/>
    <w:rsid w:val="00F773BE"/>
    <w:rsid w:val="00F82121"/>
    <w:rsid w:val="00FA12BE"/>
    <w:rsid w:val="00FD4C52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3A"/>
  </w:style>
  <w:style w:type="paragraph" w:styleId="Footer">
    <w:name w:val="footer"/>
    <w:basedOn w:val="Normal"/>
    <w:link w:val="FooterChar"/>
    <w:uiPriority w:val="99"/>
    <w:unhideWhenUsed/>
    <w:rsid w:val="001C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3A"/>
  </w:style>
  <w:style w:type="paragraph" w:styleId="Footer">
    <w:name w:val="footer"/>
    <w:basedOn w:val="Normal"/>
    <w:link w:val="FooterChar"/>
    <w:uiPriority w:val="99"/>
    <w:unhideWhenUsed/>
    <w:rsid w:val="001C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Tahir Temizel</cp:lastModifiedBy>
  <cp:revision>4</cp:revision>
  <dcterms:created xsi:type="dcterms:W3CDTF">2023-09-05T08:31:00Z</dcterms:created>
  <dcterms:modified xsi:type="dcterms:W3CDTF">2023-09-05T08:34:00Z</dcterms:modified>
</cp:coreProperties>
</file>