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9A" w:rsidRDefault="00A8229A" w:rsidP="00A8229A">
      <w:pPr>
        <w:spacing w:after="0" w:line="240" w:lineRule="auto"/>
        <w:jc w:val="both"/>
        <w:rPr>
          <w:rFonts w:ascii="Times New Roman" w:eastAsia="Times New Roman" w:hAnsi="Times New Roman" w:cs="Times New Roman"/>
          <w:sz w:val="24"/>
          <w:szCs w:val="24"/>
          <w:lang w:eastAsia="tr-TR"/>
        </w:rPr>
      </w:pPr>
      <w:r w:rsidRPr="00A8229A">
        <w:rPr>
          <w:rFonts w:ascii="Times New Roman" w:eastAsia="Times New Roman" w:hAnsi="Times New Roman" w:cs="Times New Roman"/>
          <w:sz w:val="24"/>
          <w:szCs w:val="24"/>
          <w:lang w:eastAsia="tr-TR"/>
        </w:rPr>
        <w:t>Kuzey Kıbrıs Türk Cumhu</w:t>
      </w:r>
      <w:r>
        <w:rPr>
          <w:rFonts w:ascii="Times New Roman" w:eastAsia="Times New Roman" w:hAnsi="Times New Roman" w:cs="Times New Roman"/>
          <w:sz w:val="24"/>
          <w:szCs w:val="24"/>
          <w:lang w:eastAsia="tr-TR"/>
        </w:rPr>
        <w:t xml:space="preserve">riyeti Cumhuriyet Meclisi’nin 22 Mayıs 2023 tarihli </w:t>
      </w:r>
      <w:proofErr w:type="spellStart"/>
      <w:r>
        <w:rPr>
          <w:rFonts w:ascii="Times New Roman" w:eastAsia="Times New Roman" w:hAnsi="Times New Roman" w:cs="Times New Roman"/>
          <w:sz w:val="24"/>
          <w:szCs w:val="24"/>
          <w:lang w:eastAsia="tr-TR"/>
        </w:rPr>
        <w:t>Elliüçüncü</w:t>
      </w:r>
      <w:proofErr w:type="spellEnd"/>
      <w:r w:rsidRPr="00A8229A">
        <w:rPr>
          <w:rFonts w:ascii="Times New Roman" w:eastAsia="Times New Roman" w:hAnsi="Times New Roman" w:cs="Times New Roman"/>
          <w:sz w:val="24"/>
          <w:szCs w:val="24"/>
          <w:lang w:eastAsia="tr-TR"/>
        </w:rPr>
        <w:t xml:space="preserve"> Birleşiminde Oy</w:t>
      </w:r>
      <w:r>
        <w:rPr>
          <w:rFonts w:ascii="Times New Roman" w:eastAsia="Times New Roman" w:hAnsi="Times New Roman" w:cs="Times New Roman"/>
          <w:sz w:val="24"/>
          <w:szCs w:val="24"/>
          <w:lang w:eastAsia="tr-TR"/>
        </w:rPr>
        <w:t>çokluğuyla (26 Oyla)</w:t>
      </w:r>
      <w:r w:rsidRPr="00A8229A">
        <w:rPr>
          <w:rFonts w:ascii="Times New Roman" w:eastAsia="Times New Roman" w:hAnsi="Times New Roman" w:cs="Times New Roman"/>
          <w:sz w:val="24"/>
          <w:szCs w:val="24"/>
          <w:lang w:eastAsia="tr-TR"/>
        </w:rPr>
        <w:t xml:space="preserve"> kabul olunan “Genel Tarım Sigortası Fonu 202</w:t>
      </w:r>
      <w:r>
        <w:rPr>
          <w:rFonts w:ascii="Times New Roman" w:eastAsia="Times New Roman" w:hAnsi="Times New Roman" w:cs="Times New Roman"/>
          <w:sz w:val="24"/>
          <w:szCs w:val="24"/>
          <w:lang w:eastAsia="tr-TR"/>
        </w:rPr>
        <w:t>3</w:t>
      </w:r>
      <w:r w:rsidRPr="00A8229A">
        <w:rPr>
          <w:rFonts w:ascii="Times New Roman" w:eastAsia="Times New Roman" w:hAnsi="Times New Roman" w:cs="Times New Roman"/>
          <w:sz w:val="24"/>
          <w:szCs w:val="24"/>
          <w:lang w:eastAsia="tr-TR"/>
        </w:rPr>
        <w:t xml:space="preserve"> Mali Yılı Bütçe Yasası” Anayasanın 94'üncü maddesinin (1)'inci fıkrası gereğince Kuzey Kıbrıs Türk Cumhuriyeti Cumhurbaşkanı tarafından Resmi </w:t>
      </w:r>
      <w:proofErr w:type="spellStart"/>
      <w:r w:rsidRPr="00A8229A">
        <w:rPr>
          <w:rFonts w:ascii="Times New Roman" w:eastAsia="Times New Roman" w:hAnsi="Times New Roman" w:cs="Times New Roman"/>
          <w:sz w:val="24"/>
          <w:szCs w:val="24"/>
          <w:lang w:eastAsia="tr-TR"/>
        </w:rPr>
        <w:t>Gazete'de</w:t>
      </w:r>
      <w:proofErr w:type="spellEnd"/>
      <w:r w:rsidRPr="00A8229A">
        <w:rPr>
          <w:rFonts w:ascii="Times New Roman" w:eastAsia="Times New Roman" w:hAnsi="Times New Roman" w:cs="Times New Roman"/>
          <w:sz w:val="24"/>
          <w:szCs w:val="24"/>
          <w:lang w:eastAsia="tr-TR"/>
        </w:rPr>
        <w:t xml:space="preserve"> yayımlanmak suretiyle ilan olunur.</w:t>
      </w:r>
    </w:p>
    <w:p w:rsidR="00A8229A" w:rsidRDefault="00A8229A" w:rsidP="00796115">
      <w:pPr>
        <w:spacing w:after="0" w:line="240" w:lineRule="auto"/>
        <w:jc w:val="center"/>
        <w:rPr>
          <w:rFonts w:ascii="Times New Roman" w:eastAsia="Times New Roman" w:hAnsi="Times New Roman" w:cs="Times New Roman"/>
          <w:sz w:val="24"/>
          <w:szCs w:val="24"/>
          <w:lang w:eastAsia="tr-TR"/>
        </w:rPr>
      </w:pPr>
    </w:p>
    <w:p w:rsidR="00A8229A" w:rsidRDefault="00A8229A" w:rsidP="0079611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Sayı: 28/2023</w:t>
      </w:r>
      <w:bookmarkStart w:id="0" w:name="_GoBack"/>
      <w:bookmarkEnd w:id="0"/>
    </w:p>
    <w:p w:rsidR="00A8229A" w:rsidRDefault="00A8229A" w:rsidP="00796115">
      <w:pPr>
        <w:spacing w:after="0" w:line="240" w:lineRule="auto"/>
        <w:jc w:val="center"/>
        <w:rPr>
          <w:rFonts w:ascii="Times New Roman" w:eastAsia="Times New Roman" w:hAnsi="Times New Roman" w:cs="Times New Roman"/>
          <w:sz w:val="24"/>
          <w:szCs w:val="24"/>
          <w:lang w:eastAsia="tr-TR"/>
        </w:rPr>
      </w:pPr>
    </w:p>
    <w:p w:rsidR="00096878" w:rsidRPr="00096878" w:rsidRDefault="00096878" w:rsidP="00796115">
      <w:pPr>
        <w:spacing w:after="0" w:line="240" w:lineRule="auto"/>
        <w:jc w:val="center"/>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GENEL TARIM SİGORTASI FONU</w:t>
      </w:r>
    </w:p>
    <w:p w:rsidR="00096878" w:rsidRPr="00096878" w:rsidRDefault="00096878" w:rsidP="00796115">
      <w:pPr>
        <w:spacing w:after="0" w:line="240" w:lineRule="auto"/>
        <w:jc w:val="center"/>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2023 MALİ YILI BÜTÇE YASA</w:t>
      </w:r>
      <w:r w:rsidR="00796115">
        <w:rPr>
          <w:rFonts w:ascii="Times New Roman" w:eastAsia="Times New Roman" w:hAnsi="Times New Roman" w:cs="Times New Roman"/>
          <w:sz w:val="24"/>
          <w:szCs w:val="24"/>
          <w:lang w:eastAsia="tr-TR"/>
        </w:rPr>
        <w:t>SI</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Kuzey Kıbrıs Türk Cumhuriyeti Cumhuriyet Meclisi aşağıdaki Yasayı yapar:</w:t>
      </w:r>
    </w:p>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p>
    <w:tbl>
      <w:tblPr>
        <w:tblW w:w="13140" w:type="dxa"/>
        <w:tblInd w:w="18" w:type="dxa"/>
        <w:tblLayout w:type="fixed"/>
        <w:tblLook w:val="01E0" w:firstRow="1" w:lastRow="1" w:firstColumn="1" w:lastColumn="1" w:noHBand="0" w:noVBand="0"/>
      </w:tblPr>
      <w:tblGrid>
        <w:gridCol w:w="1890"/>
        <w:gridCol w:w="11250"/>
      </w:tblGrid>
      <w:tr w:rsidR="00096878" w:rsidRPr="00096878" w:rsidTr="00743F66">
        <w:tc>
          <w:tcPr>
            <w:tcW w:w="1890"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Kısa İsim</w:t>
            </w:r>
          </w:p>
        </w:tc>
        <w:tc>
          <w:tcPr>
            <w:tcW w:w="11250" w:type="dxa"/>
            <w:shd w:val="clear" w:color="auto" w:fill="auto"/>
          </w:tcPr>
          <w:p w:rsidR="00096878" w:rsidRPr="00096878" w:rsidRDefault="00096878" w:rsidP="00096878">
            <w:pPr>
              <w:numPr>
                <w:ilvl w:val="0"/>
                <w:numId w:val="1"/>
              </w:num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Bu Yasa, Genel Tarım Sigortası Fonu 2023 Mali Yılı Bütçe Yasası olarak isimlendirilir.</w:t>
            </w:r>
          </w:p>
        </w:tc>
      </w:tr>
      <w:tr w:rsidR="00096878" w:rsidRPr="00096878" w:rsidTr="00743F66">
        <w:tc>
          <w:tcPr>
            <w:tcW w:w="1890"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1250" w:type="dxa"/>
            <w:shd w:val="clear" w:color="auto" w:fill="auto"/>
          </w:tcPr>
          <w:p w:rsidR="00096878" w:rsidRPr="00096878" w:rsidRDefault="00096878" w:rsidP="00096878">
            <w:pPr>
              <w:spacing w:after="0" w:line="240" w:lineRule="auto"/>
              <w:ind w:left="295"/>
              <w:rPr>
                <w:rFonts w:ascii="Times New Roman" w:eastAsia="Times New Roman" w:hAnsi="Times New Roman" w:cs="Times New Roman"/>
                <w:sz w:val="24"/>
                <w:szCs w:val="24"/>
                <w:lang w:eastAsia="tr-TR"/>
              </w:rPr>
            </w:pPr>
          </w:p>
        </w:tc>
      </w:tr>
      <w:tr w:rsidR="00096878" w:rsidRPr="00096878" w:rsidTr="00743F66">
        <w:tc>
          <w:tcPr>
            <w:tcW w:w="13140" w:type="dxa"/>
            <w:gridSpan w:val="2"/>
            <w:shd w:val="clear" w:color="auto" w:fill="auto"/>
            <w:vAlign w:val="center"/>
          </w:tcPr>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BİRİNCİ KISIM</w:t>
            </w:r>
          </w:p>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Genel Kurallar</w:t>
            </w:r>
          </w:p>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p>
        </w:tc>
      </w:tr>
      <w:tr w:rsidR="00096878" w:rsidRPr="00096878" w:rsidTr="00743F66">
        <w:tc>
          <w:tcPr>
            <w:tcW w:w="1890"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1250" w:type="dxa"/>
            <w:shd w:val="clear" w:color="auto" w:fill="auto"/>
          </w:tcPr>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p>
        </w:tc>
      </w:tr>
      <w:tr w:rsidR="00096878" w:rsidRPr="00096878" w:rsidTr="00743F66">
        <w:tc>
          <w:tcPr>
            <w:tcW w:w="1890"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31 Aralık 2023</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Tarihinde Sona Erecek</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Olan Mali Yıl Hizmetleri İçin Tahsis Edilen </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Ödenek “A”, “C” ve</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“D” Cetvelleri</w:t>
            </w:r>
          </w:p>
        </w:tc>
        <w:tc>
          <w:tcPr>
            <w:tcW w:w="11250" w:type="dxa"/>
            <w:shd w:val="clear" w:color="auto" w:fill="auto"/>
          </w:tcPr>
          <w:p w:rsidR="00096878" w:rsidRPr="00096878" w:rsidRDefault="00096878" w:rsidP="00096878">
            <w:pPr>
              <w:spacing w:after="0" w:line="240" w:lineRule="auto"/>
              <w:ind w:left="-65"/>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2. Genel Tarım Sigortası Fonunun 1 Ocak 2023 tarihinde başlayan ve 31 Aralık 2023 tarihinde sona erecek olan 2023 Mali Yılında bu Yasaya </w:t>
            </w:r>
            <w:proofErr w:type="spellStart"/>
            <w:r w:rsidRPr="00096878">
              <w:rPr>
                <w:rFonts w:ascii="Times New Roman" w:eastAsia="Times New Roman" w:hAnsi="Times New Roman" w:cs="Times New Roman"/>
                <w:sz w:val="24"/>
                <w:szCs w:val="24"/>
                <w:lang w:eastAsia="tr-TR"/>
              </w:rPr>
              <w:t>Ek’li</w:t>
            </w:r>
            <w:proofErr w:type="spellEnd"/>
            <w:r w:rsidRPr="00096878">
              <w:rPr>
                <w:rFonts w:ascii="Times New Roman" w:eastAsia="Times New Roman" w:hAnsi="Times New Roman" w:cs="Times New Roman"/>
                <w:sz w:val="24"/>
                <w:szCs w:val="24"/>
                <w:lang w:eastAsia="tr-TR"/>
              </w:rPr>
              <w:t xml:space="preserve"> “A”, “C” ve “D” ( Ödenekler, Kadrolar ve Araçlar) Cetvellerinde saptanan              hizmet ve faaliyetlerin yürütülebilmesi için </w:t>
            </w:r>
            <w:proofErr w:type="gramStart"/>
            <w:r w:rsidRPr="00096878">
              <w:rPr>
                <w:rFonts w:ascii="Times New Roman" w:eastAsia="Times New Roman" w:hAnsi="Times New Roman" w:cs="Times New Roman"/>
                <w:sz w:val="24"/>
                <w:szCs w:val="24"/>
                <w:lang w:eastAsia="tr-TR"/>
              </w:rPr>
              <w:t>263,000,000</w:t>
            </w:r>
            <w:proofErr w:type="gramEnd"/>
            <w:r w:rsidRPr="00096878">
              <w:rPr>
                <w:rFonts w:ascii="Times New Roman" w:eastAsia="Times New Roman" w:hAnsi="Times New Roman" w:cs="Times New Roman"/>
                <w:sz w:val="24"/>
                <w:szCs w:val="24"/>
                <w:lang w:eastAsia="tr-TR"/>
              </w:rPr>
              <w:t xml:space="preserve">.-TL (İki Yüz Altmış Üç Milyon Türk Lirası) ödenek tahsis edilir.  </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r>
      <w:tr w:rsidR="00096878" w:rsidRPr="00096878" w:rsidTr="00743F66">
        <w:tc>
          <w:tcPr>
            <w:tcW w:w="1890"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1250"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r>
      <w:tr w:rsidR="00096878" w:rsidRPr="00096878" w:rsidTr="00743F66">
        <w:tc>
          <w:tcPr>
            <w:tcW w:w="1890"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Bütçenin </w:t>
            </w:r>
            <w:proofErr w:type="spellStart"/>
            <w:r w:rsidRPr="00096878">
              <w:rPr>
                <w:rFonts w:ascii="Times New Roman" w:eastAsia="Times New Roman" w:hAnsi="Times New Roman" w:cs="Times New Roman"/>
                <w:sz w:val="24"/>
                <w:szCs w:val="24"/>
                <w:lang w:eastAsia="tr-TR"/>
              </w:rPr>
              <w:t>Finasmanı</w:t>
            </w:r>
            <w:proofErr w:type="spellEnd"/>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“B” Cetveli</w:t>
            </w:r>
          </w:p>
        </w:tc>
        <w:tc>
          <w:tcPr>
            <w:tcW w:w="11250" w:type="dxa"/>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3. Bütçenin finansmanı için, bu Yasaya </w:t>
            </w:r>
            <w:proofErr w:type="spellStart"/>
            <w:r w:rsidRPr="00096878">
              <w:rPr>
                <w:rFonts w:ascii="Times New Roman" w:eastAsia="Times New Roman" w:hAnsi="Times New Roman" w:cs="Times New Roman"/>
                <w:sz w:val="24"/>
                <w:szCs w:val="24"/>
                <w:lang w:eastAsia="tr-TR"/>
              </w:rPr>
              <w:t>Ek’li</w:t>
            </w:r>
            <w:proofErr w:type="spellEnd"/>
            <w:r w:rsidRPr="00096878">
              <w:rPr>
                <w:rFonts w:ascii="Times New Roman" w:eastAsia="Times New Roman" w:hAnsi="Times New Roman" w:cs="Times New Roman"/>
                <w:sz w:val="24"/>
                <w:szCs w:val="24"/>
                <w:lang w:eastAsia="tr-TR"/>
              </w:rPr>
              <w:t xml:space="preserve"> “B” (Gelirler) Cetvelinde saptanan kaynaklardan </w:t>
            </w:r>
            <w:proofErr w:type="gramStart"/>
            <w:r w:rsidRPr="00096878">
              <w:rPr>
                <w:rFonts w:ascii="Times New Roman" w:eastAsia="Times New Roman" w:hAnsi="Times New Roman" w:cs="Times New Roman"/>
                <w:sz w:val="24"/>
                <w:szCs w:val="24"/>
                <w:lang w:eastAsia="tr-TR"/>
              </w:rPr>
              <w:t>toplam          263</w:t>
            </w:r>
            <w:proofErr w:type="gramEnd"/>
            <w:r w:rsidRPr="00096878">
              <w:rPr>
                <w:rFonts w:ascii="Times New Roman" w:eastAsia="Times New Roman" w:hAnsi="Times New Roman" w:cs="Times New Roman"/>
                <w:sz w:val="24"/>
                <w:szCs w:val="24"/>
                <w:lang w:eastAsia="tr-TR"/>
              </w:rPr>
              <w:t>,000,000.-TL (İki Yüz Altmış Üç Milyon Türk Lirası) öz gelir öngörülmüştür.</w:t>
            </w:r>
          </w:p>
        </w:tc>
      </w:tr>
      <w:tr w:rsidR="00096878" w:rsidRPr="00096878" w:rsidTr="00743F66">
        <w:tc>
          <w:tcPr>
            <w:tcW w:w="1890"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1250"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r>
      <w:tr w:rsidR="00096878" w:rsidRPr="00096878" w:rsidTr="00743F66">
        <w:trPr>
          <w:trHeight w:val="1598"/>
        </w:trPr>
        <w:tc>
          <w:tcPr>
            <w:tcW w:w="1890"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lastRenderedPageBreak/>
              <w:t>Cetveller</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1250" w:type="dxa"/>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4.  Genel Tarım Sigortası Fonu 2023 Mali Yılı Bütçe Yasası aşağıdaki Cetvellerden oluşur:</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     “A” Cetveli</w:t>
            </w:r>
            <w:proofErr w:type="gramStart"/>
            <w:r w:rsidRPr="00096878">
              <w:rPr>
                <w:rFonts w:ascii="Times New Roman" w:eastAsia="Times New Roman" w:hAnsi="Times New Roman" w:cs="Times New Roman"/>
                <w:sz w:val="24"/>
                <w:szCs w:val="24"/>
                <w:lang w:eastAsia="tr-TR"/>
              </w:rPr>
              <w:t>............................................</w:t>
            </w:r>
            <w:proofErr w:type="gramEnd"/>
            <w:r w:rsidRPr="00096878">
              <w:rPr>
                <w:rFonts w:ascii="Times New Roman" w:eastAsia="Times New Roman" w:hAnsi="Times New Roman" w:cs="Times New Roman"/>
                <w:sz w:val="24"/>
                <w:szCs w:val="24"/>
                <w:lang w:eastAsia="tr-TR"/>
              </w:rPr>
              <w:t>Ödenekler</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     “B” Cetveli</w:t>
            </w:r>
            <w:proofErr w:type="gramStart"/>
            <w:r w:rsidRPr="00096878">
              <w:rPr>
                <w:rFonts w:ascii="Times New Roman" w:eastAsia="Times New Roman" w:hAnsi="Times New Roman" w:cs="Times New Roman"/>
                <w:sz w:val="24"/>
                <w:szCs w:val="24"/>
                <w:lang w:eastAsia="tr-TR"/>
              </w:rPr>
              <w:t>............................................</w:t>
            </w:r>
            <w:proofErr w:type="gramEnd"/>
            <w:r w:rsidRPr="00096878">
              <w:rPr>
                <w:rFonts w:ascii="Times New Roman" w:eastAsia="Times New Roman" w:hAnsi="Times New Roman" w:cs="Times New Roman"/>
                <w:sz w:val="24"/>
                <w:szCs w:val="24"/>
                <w:lang w:eastAsia="tr-TR"/>
              </w:rPr>
              <w:t>Gelirler</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     “C” Cetveli</w:t>
            </w:r>
            <w:proofErr w:type="gramStart"/>
            <w:r w:rsidRPr="00096878">
              <w:rPr>
                <w:rFonts w:ascii="Times New Roman" w:eastAsia="Times New Roman" w:hAnsi="Times New Roman" w:cs="Times New Roman"/>
                <w:sz w:val="24"/>
                <w:szCs w:val="24"/>
                <w:lang w:eastAsia="tr-TR"/>
              </w:rPr>
              <w:t>............................................</w:t>
            </w:r>
            <w:proofErr w:type="gramEnd"/>
            <w:r w:rsidRPr="00096878">
              <w:rPr>
                <w:rFonts w:ascii="Times New Roman" w:eastAsia="Times New Roman" w:hAnsi="Times New Roman" w:cs="Times New Roman"/>
                <w:sz w:val="24"/>
                <w:szCs w:val="24"/>
                <w:lang w:eastAsia="tr-TR"/>
              </w:rPr>
              <w:t>Kadrolar</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     “D” Cetveli</w:t>
            </w:r>
            <w:proofErr w:type="gramStart"/>
            <w:r w:rsidRPr="00096878">
              <w:rPr>
                <w:rFonts w:ascii="Times New Roman" w:eastAsia="Times New Roman" w:hAnsi="Times New Roman" w:cs="Times New Roman"/>
                <w:sz w:val="24"/>
                <w:szCs w:val="24"/>
                <w:lang w:eastAsia="tr-TR"/>
              </w:rPr>
              <w:t>............................................</w:t>
            </w:r>
            <w:proofErr w:type="gramEnd"/>
            <w:r w:rsidRPr="00096878">
              <w:rPr>
                <w:rFonts w:ascii="Times New Roman" w:eastAsia="Times New Roman" w:hAnsi="Times New Roman" w:cs="Times New Roman"/>
                <w:sz w:val="24"/>
                <w:szCs w:val="24"/>
                <w:lang w:eastAsia="tr-TR"/>
              </w:rPr>
              <w:t>Araçlar</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     “E” Cetveli</w:t>
            </w:r>
            <w:proofErr w:type="gramStart"/>
            <w:r w:rsidRPr="00096878">
              <w:rPr>
                <w:rFonts w:ascii="Times New Roman" w:eastAsia="Times New Roman" w:hAnsi="Times New Roman" w:cs="Times New Roman"/>
                <w:sz w:val="24"/>
                <w:szCs w:val="24"/>
                <w:lang w:eastAsia="tr-TR"/>
              </w:rPr>
              <w:t>.............................................</w:t>
            </w:r>
            <w:proofErr w:type="gramEnd"/>
            <w:r w:rsidRPr="00096878">
              <w:rPr>
                <w:rFonts w:ascii="Times New Roman" w:eastAsia="Times New Roman" w:hAnsi="Times New Roman" w:cs="Times New Roman"/>
                <w:sz w:val="24"/>
                <w:szCs w:val="24"/>
                <w:lang w:eastAsia="tr-TR"/>
              </w:rPr>
              <w:t>Harcamaya İlişkin Formül (Eko-Rehber)</w:t>
            </w:r>
          </w:p>
        </w:tc>
      </w:tr>
    </w:tbl>
    <w:p w:rsidR="00096878" w:rsidRPr="00096878" w:rsidRDefault="00096878" w:rsidP="00096878">
      <w:pPr>
        <w:spacing w:after="0" w:line="240" w:lineRule="auto"/>
        <w:rPr>
          <w:rFonts w:ascii="Times New Roman" w:eastAsia="Times New Roman" w:hAnsi="Times New Roman" w:cs="Times New Roman"/>
          <w:sz w:val="24"/>
          <w:szCs w:val="24"/>
          <w:lang w:eastAsia="tr-TR"/>
        </w:rPr>
      </w:pPr>
    </w:p>
    <w:tbl>
      <w:tblPr>
        <w:tblpPr w:leftFromText="180" w:rightFromText="180" w:vertAnchor="text" w:tblpY="1"/>
        <w:tblOverlap w:val="never"/>
        <w:tblW w:w="13140" w:type="dxa"/>
        <w:tblInd w:w="18" w:type="dxa"/>
        <w:tblLayout w:type="fixed"/>
        <w:tblLook w:val="01E0" w:firstRow="1" w:lastRow="1" w:firstColumn="1" w:lastColumn="1" w:noHBand="0" w:noVBand="0"/>
      </w:tblPr>
      <w:tblGrid>
        <w:gridCol w:w="1889"/>
        <w:gridCol w:w="44"/>
        <w:gridCol w:w="425"/>
        <w:gridCol w:w="567"/>
        <w:gridCol w:w="44"/>
        <w:gridCol w:w="10171"/>
      </w:tblGrid>
      <w:tr w:rsidR="00096878" w:rsidRPr="00096878" w:rsidTr="00743F66">
        <w:trPr>
          <w:trHeight w:val="306"/>
        </w:trPr>
        <w:tc>
          <w:tcPr>
            <w:tcW w:w="1889"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Analitik Bütçe</w:t>
            </w:r>
          </w:p>
        </w:tc>
        <w:tc>
          <w:tcPr>
            <w:tcW w:w="11251" w:type="dxa"/>
            <w:gridSpan w:val="5"/>
            <w:shd w:val="clear" w:color="auto" w:fill="auto"/>
          </w:tcPr>
          <w:p w:rsidR="00096878" w:rsidRPr="00096878" w:rsidRDefault="00096878" w:rsidP="00096878">
            <w:pPr>
              <w:spacing w:after="0" w:line="240" w:lineRule="auto"/>
              <w:ind w:right="-99"/>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5.  Genel Tarım Sigortası </w:t>
            </w:r>
            <w:proofErr w:type="gramStart"/>
            <w:r w:rsidRPr="00096878">
              <w:rPr>
                <w:rFonts w:ascii="Times New Roman" w:eastAsia="Times New Roman" w:hAnsi="Times New Roman" w:cs="Times New Roman"/>
                <w:sz w:val="24"/>
                <w:szCs w:val="24"/>
                <w:lang w:eastAsia="tr-TR"/>
              </w:rPr>
              <w:t>Fonu  2023</w:t>
            </w:r>
            <w:proofErr w:type="gramEnd"/>
            <w:r w:rsidRPr="00096878">
              <w:rPr>
                <w:rFonts w:ascii="Times New Roman" w:eastAsia="Times New Roman" w:hAnsi="Times New Roman" w:cs="Times New Roman"/>
                <w:sz w:val="24"/>
                <w:szCs w:val="24"/>
                <w:lang w:eastAsia="tr-TR"/>
              </w:rPr>
              <w:t xml:space="preserve"> Mali Yılı Analitik Bütçe  Sınıflandırması  aşağıdaki  şekilde  düzenlenmiştir:</w:t>
            </w:r>
          </w:p>
        </w:tc>
      </w:tr>
      <w:tr w:rsidR="00096878" w:rsidRPr="00096878" w:rsidTr="00743F66">
        <w:trPr>
          <w:trHeight w:val="306"/>
        </w:trPr>
        <w:tc>
          <w:tcPr>
            <w:tcW w:w="1889"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Sınıflandırması</w:t>
            </w:r>
          </w:p>
        </w:tc>
        <w:tc>
          <w:tcPr>
            <w:tcW w:w="469" w:type="dxa"/>
            <w:gridSpan w:val="2"/>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w:t>
            </w:r>
          </w:p>
        </w:tc>
        <w:tc>
          <w:tcPr>
            <w:tcW w:w="10171" w:type="dxa"/>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Kurumsal Sınıflandırma: Birinci Düzeyde Genel Tarım Sigortası Fonu yer almaktadır.</w:t>
            </w:r>
          </w:p>
        </w:tc>
      </w:tr>
      <w:tr w:rsidR="00096878" w:rsidRPr="00096878" w:rsidTr="00743F66">
        <w:trPr>
          <w:trHeight w:val="306"/>
        </w:trPr>
        <w:tc>
          <w:tcPr>
            <w:tcW w:w="1889"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“E” Cetveli</w:t>
            </w:r>
          </w:p>
        </w:tc>
        <w:tc>
          <w:tcPr>
            <w:tcW w:w="469" w:type="dxa"/>
            <w:gridSpan w:val="2"/>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(2)</w:t>
            </w:r>
          </w:p>
        </w:tc>
        <w:tc>
          <w:tcPr>
            <w:tcW w:w="10171" w:type="dxa"/>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Fonksiyonel Sınıflandırma: Genel Tarım Sigortası Fonunun faaliyetlerinin işlevini göstermektedir.</w:t>
            </w:r>
          </w:p>
        </w:tc>
      </w:tr>
      <w:tr w:rsidR="00096878" w:rsidRPr="00096878" w:rsidTr="00743F66">
        <w:trPr>
          <w:trHeight w:val="306"/>
        </w:trPr>
        <w:tc>
          <w:tcPr>
            <w:tcW w:w="1889"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69" w:type="dxa"/>
            <w:gridSpan w:val="2"/>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(3)</w:t>
            </w:r>
          </w:p>
        </w:tc>
        <w:tc>
          <w:tcPr>
            <w:tcW w:w="10171" w:type="dxa"/>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Finansal Sınıflandırma: Yapılan harcamaların hangi kaynaktan finanse edildiğini göstermektedir.</w:t>
            </w:r>
          </w:p>
        </w:tc>
      </w:tr>
      <w:tr w:rsidR="00096878" w:rsidRPr="00096878" w:rsidTr="00743F66">
        <w:trPr>
          <w:trHeight w:val="306"/>
        </w:trPr>
        <w:tc>
          <w:tcPr>
            <w:tcW w:w="1889" w:type="dxa"/>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69" w:type="dxa"/>
            <w:gridSpan w:val="2"/>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(4)</w:t>
            </w:r>
          </w:p>
        </w:tc>
        <w:tc>
          <w:tcPr>
            <w:tcW w:w="10171" w:type="dxa"/>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Ekonomik Sınıflandırma: Ödeneklerin ekonomik sınıflandırılmasını göstermektedir ve detaylı açıklamaları bu Yasaya </w:t>
            </w:r>
            <w:proofErr w:type="spellStart"/>
            <w:r w:rsidRPr="00096878">
              <w:rPr>
                <w:rFonts w:ascii="Times New Roman" w:eastAsia="Times New Roman" w:hAnsi="Times New Roman" w:cs="Times New Roman"/>
                <w:sz w:val="24"/>
                <w:szCs w:val="24"/>
                <w:lang w:eastAsia="tr-TR"/>
              </w:rPr>
              <w:t>Ek’li</w:t>
            </w:r>
            <w:proofErr w:type="spellEnd"/>
            <w:r w:rsidRPr="00096878">
              <w:rPr>
                <w:rFonts w:ascii="Times New Roman" w:eastAsia="Times New Roman" w:hAnsi="Times New Roman" w:cs="Times New Roman"/>
                <w:sz w:val="24"/>
                <w:szCs w:val="24"/>
                <w:lang w:eastAsia="tr-TR"/>
              </w:rPr>
              <w:t xml:space="preserve"> “E” Cetveli Eko- Rehberde yer almaktadır.</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p>
        </w:tc>
      </w:tr>
      <w:tr w:rsidR="00096878" w:rsidRPr="00096878" w:rsidTr="00743F66">
        <w:trPr>
          <w:trHeight w:val="306"/>
        </w:trPr>
        <w:tc>
          <w:tcPr>
            <w:tcW w:w="13140" w:type="dxa"/>
            <w:gridSpan w:val="6"/>
            <w:shd w:val="clear" w:color="auto" w:fill="auto"/>
          </w:tcPr>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İKİNCİ KISIM</w:t>
            </w:r>
          </w:p>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Gelirler ve Cari Harcamalara İlişkin Uygulama Kuralları</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8"/>
        </w:trPr>
        <w:tc>
          <w:tcPr>
            <w:tcW w:w="1933"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Bütçe Gelirleri</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6. </w:t>
            </w:r>
          </w:p>
        </w:tc>
        <w:tc>
          <w:tcPr>
            <w:tcW w:w="567"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(1)                  </w:t>
            </w:r>
          </w:p>
        </w:tc>
        <w:tc>
          <w:tcPr>
            <w:tcW w:w="10215" w:type="dxa"/>
            <w:gridSpan w:val="2"/>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Genel Tarım Sigortası Fon sigorta primleri gelirleri ve bu Yasanın 11’inci maddesi uyarınca gerçekleşecek iç ve dış ayni ve nakdi yardım gelirleri, Genel Tarım Sigortası Fonu Bütçesine gelir olarak kaydedilir.                       </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933"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(2)</w:t>
            </w:r>
          </w:p>
        </w:tc>
        <w:tc>
          <w:tcPr>
            <w:tcW w:w="10215" w:type="dxa"/>
            <w:gridSpan w:val="2"/>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Bütçede öngörülmediği halde cari yıl içinde ortaya çıkan gelirler, Tarım İşleriyle Görevli Bakan tarafından Bütçeye yeni gelir kalemi olarak eklenir.</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933"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0215"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val="restart"/>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Harcamalarda </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Usul</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20/2016</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40/1982</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   47/1995</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lastRenderedPageBreak/>
              <w:t>EK III</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A.E.207</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19.4.1985</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A.E.590</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17.10.1986</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A.E.786 31.12.2010</w:t>
            </w:r>
          </w:p>
        </w:tc>
        <w:tc>
          <w:tcPr>
            <w:tcW w:w="425" w:type="dxa"/>
            <w:vMerge w:val="restart"/>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lastRenderedPageBreak/>
              <w:t>7.</w:t>
            </w: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w:t>
            </w: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2023 Mali Yılı Bütçesinde öngörülen ödenekler aşılamaz.</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933"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(2)</w:t>
            </w: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Harcamalar, Kamu İhale Yasası ile Genel Tarım Sigortası Yasasının 13’üncü maddesi uyarınca, çıkarılan ve Bakanlar Kurulunca onaylanan Genel Tarım Sigortası Fonunun Mali İşler Tüzüğüne göre yapılır.</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trPr>
        <w:tc>
          <w:tcPr>
            <w:tcW w:w="1933"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(3)</w:t>
            </w: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Fonun Satın Alma ve Satış Yapma Yönetmeliğinin 3’üncü maddesinin (1)’inci fıkrası uyarınca, Fon Müdürünün ihalesiz her </w:t>
            </w:r>
            <w:proofErr w:type="gramStart"/>
            <w:r w:rsidRPr="00096878">
              <w:rPr>
                <w:rFonts w:ascii="Times New Roman" w:eastAsia="Times New Roman" w:hAnsi="Times New Roman" w:cs="Times New Roman"/>
                <w:sz w:val="24"/>
                <w:szCs w:val="24"/>
                <w:lang w:eastAsia="tr-TR"/>
              </w:rPr>
              <w:t>türlü  demirbaş</w:t>
            </w:r>
            <w:proofErr w:type="gramEnd"/>
            <w:r w:rsidRPr="00096878">
              <w:rPr>
                <w:rFonts w:ascii="Times New Roman" w:eastAsia="Times New Roman" w:hAnsi="Times New Roman" w:cs="Times New Roman"/>
                <w:sz w:val="24"/>
                <w:szCs w:val="24"/>
                <w:lang w:eastAsia="tr-TR"/>
              </w:rPr>
              <w:t>, malzeme alım ve satımları ile hizmet alımları yetkisi, 2023 Mali Yılında 70,000.-TL (Yetmiş Bin Türk Lirası) olarak belirlenmiştir.</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1933"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(4)</w:t>
            </w: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Fonun Satın Alma ve Satış Yapma Yönetmeliğinin 3’üncü maddesinin (2)’</w:t>
            </w:r>
            <w:proofErr w:type="spellStart"/>
            <w:r w:rsidRPr="00096878">
              <w:rPr>
                <w:rFonts w:ascii="Times New Roman" w:eastAsia="Times New Roman" w:hAnsi="Times New Roman" w:cs="Times New Roman"/>
                <w:sz w:val="24"/>
                <w:szCs w:val="24"/>
                <w:lang w:eastAsia="tr-TR"/>
              </w:rPr>
              <w:t>nci</w:t>
            </w:r>
            <w:proofErr w:type="spellEnd"/>
            <w:r w:rsidRPr="00096878">
              <w:rPr>
                <w:rFonts w:ascii="Times New Roman" w:eastAsia="Times New Roman" w:hAnsi="Times New Roman" w:cs="Times New Roman"/>
                <w:sz w:val="24"/>
                <w:szCs w:val="24"/>
                <w:lang w:eastAsia="tr-TR"/>
              </w:rPr>
              <w:t xml:space="preserve"> fıkrası uyarınca Fon Yönetim Kurulunun ihalesiz her türlü demirbaş, malzeme alım ve satımları ile hizmet alımları yetkisi, 2023 Mali Yılında 100,000.-TL (Yüz Bin Türk Lirası) olarak belirlenmiştir.</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933" w:type="dxa"/>
            <w:gridSpan w:val="2"/>
            <w:vMerge w:val="restart"/>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val="restart"/>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(5)</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 </w:t>
            </w: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Fon binası yapım ve onarımlarında, Fon Müdürünün ihalesiz harcama yetkisi, yapım ve onarımlar için 2023 Mali Yılında 210,000.-TL (İki Yüz On Bin Türk Lirası) olarak belirlenmiştir.</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Aktarma Kuralları</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8.</w:t>
            </w: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Ekonomik sınıflandırmada bulunan kalemler arası aktarmalar, yeni ihdas kalemleri </w:t>
            </w:r>
            <w:proofErr w:type="gramStart"/>
            <w:r w:rsidRPr="00096878">
              <w:rPr>
                <w:rFonts w:ascii="Times New Roman" w:eastAsia="Times New Roman" w:hAnsi="Times New Roman" w:cs="Times New Roman"/>
                <w:sz w:val="24"/>
                <w:szCs w:val="24"/>
                <w:lang w:eastAsia="tr-TR"/>
              </w:rPr>
              <w:t>dahil</w:t>
            </w:r>
            <w:proofErr w:type="gramEnd"/>
            <w:r w:rsidRPr="00096878">
              <w:rPr>
                <w:rFonts w:ascii="Times New Roman" w:eastAsia="Times New Roman" w:hAnsi="Times New Roman" w:cs="Times New Roman"/>
                <w:sz w:val="24"/>
                <w:szCs w:val="24"/>
                <w:lang w:eastAsia="tr-TR"/>
              </w:rPr>
              <w:t>, Genel Tarım Sigortası Müdürü ve Yönetim Kurulunun önerisi üzerine Tarım İşleriyle Görevli Bakanın onayı ile gerçekleştirilir.</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val="restart"/>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val="restart"/>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 </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(2)</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Aktarma önerileri, Genel Tarım Sigortası Müdürünün ve Yönetim Kurulunun önerisi üzerine Tarım İşleriyle Görevli Bakanlığa gönderilir ve Bakanlık öneriyi gerekli işleme koyar.</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(3)    </w:t>
            </w: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Ekonomik sınıflandırmada herhangi bir madde altında öngörülen bir hizmetin yerine getirilmemesi nedeniyle kullanılmayan ödenek, Tarım İşleriyle Görevli Bakanın uygun görüşü alınmadıkça başka bir ödenek kalemine aktarılamaz.</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(4)</w:t>
            </w: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Aktarma veya ek ödenek, usulüne uygun olarak onaylanmadıkça Bütçe borçlandırılamaz ve yükümlülük altına girilemez.  </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(5)</w:t>
            </w: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Maaş, ücret ve diğer özlük hakları ödeneklerinden başka bir amaç için kullanılmak üzere aktarma yapılamaz.</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(6) </w:t>
            </w: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Bütçede öngörülen bir ödeneğin %50’sinden fazla miktarının aktarılması Yönetim Kurulu Kararı ve Tarım İşleriyle Görevli Bakanının onayı ile olur.</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(7)</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Aktarma suretiyle ödeneği azaltılan bir kaleme veya aktarma suretiyle ödeneği artırılan bir kalemden başka bir kaleme aktarma yapılamaz.</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(8)</w:t>
            </w: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Bütçede öngörülen temsil giderleri ödeneği, başka bir ödenekten aktarma yapmak suretiyle artırılamaz.     </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(9)</w:t>
            </w: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Bütçede öngörülen III. Düzey Tarımsal Amaçlı Transferler ödeneğinden başka bir kaleme aktarma yapılamaz.</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      Ancak bu başlık altında öngörülen ödeneklerden kendi aralarında aktarma yapılabilir.</w:t>
            </w: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25"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61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0171"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p>
        </w:tc>
      </w:tr>
      <w:tr w:rsidR="00096878" w:rsidRPr="00096878" w:rsidTr="00743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3"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Geçen Yıllar</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lastRenderedPageBreak/>
              <w:t>Borçlarına Ait</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Ödemeler</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1207" w:type="dxa"/>
            <w:gridSpan w:val="4"/>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lastRenderedPageBreak/>
              <w:t xml:space="preserve">9. İlgili mali yılın sonuna kadar ödenmediği ve zaman aşımına uğramamış olan geçmiş yıllar borçlarına ve </w:t>
            </w:r>
            <w:r w:rsidRPr="00096878">
              <w:rPr>
                <w:rFonts w:ascii="Times New Roman" w:eastAsia="Times New Roman" w:hAnsi="Times New Roman" w:cs="Times New Roman"/>
                <w:sz w:val="24"/>
                <w:szCs w:val="24"/>
                <w:lang w:eastAsia="tr-TR"/>
              </w:rPr>
              <w:lastRenderedPageBreak/>
              <w:t>tazminatlarına ait ödemeler hizmetlerin yürütüldüğü ilgili ödeneklerden yapılır.</w:t>
            </w:r>
          </w:p>
        </w:tc>
      </w:tr>
    </w:tbl>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lastRenderedPageBreak/>
        <w:br w:type="page"/>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517"/>
        <w:gridCol w:w="496"/>
        <w:gridCol w:w="10304"/>
      </w:tblGrid>
      <w:tr w:rsidR="00096878" w:rsidRPr="00096878" w:rsidTr="00743F66">
        <w:trPr>
          <w:trHeight w:val="633"/>
        </w:trPr>
        <w:tc>
          <w:tcPr>
            <w:tcW w:w="13140" w:type="dxa"/>
            <w:gridSpan w:val="4"/>
            <w:tcBorders>
              <w:top w:val="nil"/>
              <w:left w:val="nil"/>
              <w:bottom w:val="nil"/>
              <w:right w:val="nil"/>
            </w:tcBorders>
            <w:shd w:val="clear" w:color="auto" w:fill="auto"/>
          </w:tcPr>
          <w:p w:rsidR="00096878" w:rsidRPr="00096878" w:rsidRDefault="00096878" w:rsidP="00096878">
            <w:pPr>
              <w:tabs>
                <w:tab w:val="left" w:pos="4980"/>
              </w:tabs>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lastRenderedPageBreak/>
              <w:tab/>
            </w:r>
          </w:p>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ÜÇÜNCÜ KISIM</w:t>
            </w:r>
          </w:p>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Personel Rejimi ve Ek Ödenek</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p>
        </w:tc>
      </w:tr>
      <w:tr w:rsidR="00096878" w:rsidRPr="00096878" w:rsidTr="00743F66">
        <w:tc>
          <w:tcPr>
            <w:tcW w:w="1823" w:type="dxa"/>
            <w:vMerge w:val="restart"/>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Personel İstihdamı</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Maaş, Ödenek,</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roofErr w:type="gramStart"/>
            <w:r w:rsidRPr="00096878">
              <w:rPr>
                <w:rFonts w:ascii="Times New Roman" w:eastAsia="Times New Roman" w:hAnsi="Times New Roman" w:cs="Times New Roman"/>
                <w:sz w:val="24"/>
                <w:szCs w:val="24"/>
                <w:lang w:eastAsia="tr-TR"/>
              </w:rPr>
              <w:t>ve</w:t>
            </w:r>
            <w:proofErr w:type="gramEnd"/>
            <w:r w:rsidRPr="00096878">
              <w:rPr>
                <w:rFonts w:ascii="Times New Roman" w:eastAsia="Times New Roman" w:hAnsi="Times New Roman" w:cs="Times New Roman"/>
                <w:sz w:val="24"/>
                <w:szCs w:val="24"/>
                <w:lang w:eastAsia="tr-TR"/>
              </w:rPr>
              <w:t xml:space="preserve"> Özlük </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Hakları</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40/1982</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   47/1995</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EK III</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A.E.379</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7.10.1983</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A.E.366</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18.7.1984</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A.E.343</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7.7.1985</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 612</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28.10.1986</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A.E.453</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18.8.1987</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A.E.68</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10.2.1989</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A.E.326</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12.7.1993</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A.E.246     </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26.3.1997</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 754</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30.11.2001</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A.E.138</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14.3.2002</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lastRenderedPageBreak/>
              <w:t>A.E.296</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14.5.2002</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A.E.326</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17.6.2004</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41/2019</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   27/2022</w:t>
            </w:r>
          </w:p>
        </w:tc>
        <w:tc>
          <w:tcPr>
            <w:tcW w:w="517" w:type="dxa"/>
            <w:vMerge w:val="restart"/>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lastRenderedPageBreak/>
              <w:t>10.</w:t>
            </w:r>
          </w:p>
        </w:tc>
        <w:tc>
          <w:tcPr>
            <w:tcW w:w="496"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w:t>
            </w:r>
          </w:p>
        </w:tc>
        <w:tc>
          <w:tcPr>
            <w:tcW w:w="10304"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Personelin maaş, ödenek ve özlük hakları ile personel istihdamında, Genel Tarım Sigortası Yasasının 8’inci maddesi uyarınca çıkarılan Genel Tarım Sigortası Fonu Personel Tüzüğü kuralları uygulanır. Personele </w:t>
            </w:r>
            <w:proofErr w:type="gramStart"/>
            <w:r w:rsidRPr="00096878">
              <w:rPr>
                <w:rFonts w:ascii="Times New Roman" w:eastAsia="Times New Roman" w:hAnsi="Times New Roman" w:cs="Times New Roman"/>
                <w:sz w:val="24"/>
                <w:szCs w:val="24"/>
                <w:lang w:eastAsia="tr-TR"/>
              </w:rPr>
              <w:t>uygulanacak  maaşlar</w:t>
            </w:r>
            <w:proofErr w:type="gramEnd"/>
            <w:r w:rsidRPr="00096878">
              <w:rPr>
                <w:rFonts w:ascii="Times New Roman" w:eastAsia="Times New Roman" w:hAnsi="Times New Roman" w:cs="Times New Roman"/>
                <w:sz w:val="24"/>
                <w:szCs w:val="24"/>
                <w:lang w:eastAsia="tr-TR"/>
              </w:rPr>
              <w:t xml:space="preserve"> için, kamu görevlilerine uygulanan maaş baremleri esas alınır.</w:t>
            </w:r>
          </w:p>
        </w:tc>
      </w:tr>
      <w:tr w:rsidR="00096878" w:rsidRPr="00096878" w:rsidTr="00743F66">
        <w:tc>
          <w:tcPr>
            <w:tcW w:w="1823" w:type="dxa"/>
            <w:vMerge/>
            <w:tcBorders>
              <w:top w:val="nil"/>
              <w:left w:val="nil"/>
              <w:bottom w:val="nil"/>
              <w:right w:val="nil"/>
            </w:tcBorders>
            <w:shd w:val="clear" w:color="auto" w:fill="auto"/>
          </w:tcPr>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p>
        </w:tc>
        <w:tc>
          <w:tcPr>
            <w:tcW w:w="517"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96"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(2)</w:t>
            </w:r>
          </w:p>
        </w:tc>
        <w:tc>
          <w:tcPr>
            <w:tcW w:w="10304"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Bütçede kadrosu ve ödeneği olmadan herhangi bir tayin, terfi ve barem ayarlaması yapılamaz.</w:t>
            </w:r>
          </w:p>
        </w:tc>
      </w:tr>
      <w:tr w:rsidR="00096878" w:rsidRPr="00096878" w:rsidTr="00743F66">
        <w:tc>
          <w:tcPr>
            <w:tcW w:w="1823" w:type="dxa"/>
            <w:vMerge/>
            <w:tcBorders>
              <w:top w:val="nil"/>
              <w:left w:val="nil"/>
              <w:bottom w:val="nil"/>
              <w:right w:val="nil"/>
            </w:tcBorders>
            <w:shd w:val="clear" w:color="auto" w:fill="auto"/>
          </w:tcPr>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p>
        </w:tc>
        <w:tc>
          <w:tcPr>
            <w:tcW w:w="517"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96"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(3)</w:t>
            </w:r>
          </w:p>
        </w:tc>
        <w:tc>
          <w:tcPr>
            <w:tcW w:w="10304"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Sebebi ve gerekçesi ne olursa olsun geriye dönük atama yapılamaz ve herhangi bir ödemede bulunulamaz.</w:t>
            </w:r>
          </w:p>
        </w:tc>
      </w:tr>
      <w:tr w:rsidR="00096878" w:rsidRPr="00096878" w:rsidTr="00743F66">
        <w:trPr>
          <w:trHeight w:val="633"/>
        </w:trPr>
        <w:tc>
          <w:tcPr>
            <w:tcW w:w="1823" w:type="dxa"/>
            <w:vMerge/>
            <w:tcBorders>
              <w:top w:val="nil"/>
              <w:left w:val="nil"/>
              <w:bottom w:val="nil"/>
              <w:right w:val="nil"/>
            </w:tcBorders>
            <w:shd w:val="clear" w:color="auto" w:fill="auto"/>
          </w:tcPr>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p>
        </w:tc>
        <w:tc>
          <w:tcPr>
            <w:tcW w:w="517"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96"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(4) </w:t>
            </w:r>
          </w:p>
        </w:tc>
        <w:tc>
          <w:tcPr>
            <w:tcW w:w="10304"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proofErr w:type="gramStart"/>
            <w:r w:rsidRPr="00096878">
              <w:rPr>
                <w:rFonts w:ascii="Times New Roman" w:eastAsia="Times New Roman" w:hAnsi="Times New Roman" w:cs="Times New Roman"/>
                <w:sz w:val="24"/>
                <w:szCs w:val="24"/>
                <w:lang w:eastAsia="tr-TR"/>
              </w:rPr>
              <w:t>Kamu Mali Yönetimi ve Kontrol Yasasının 41’inci maddesinin (2)’</w:t>
            </w:r>
            <w:proofErr w:type="spellStart"/>
            <w:r w:rsidRPr="00096878">
              <w:rPr>
                <w:rFonts w:ascii="Times New Roman" w:eastAsia="Times New Roman" w:hAnsi="Times New Roman" w:cs="Times New Roman"/>
                <w:sz w:val="24"/>
                <w:szCs w:val="24"/>
                <w:lang w:eastAsia="tr-TR"/>
              </w:rPr>
              <w:t>nci</w:t>
            </w:r>
            <w:proofErr w:type="spellEnd"/>
            <w:r w:rsidRPr="00096878">
              <w:rPr>
                <w:rFonts w:ascii="Times New Roman" w:eastAsia="Times New Roman" w:hAnsi="Times New Roman" w:cs="Times New Roman"/>
                <w:sz w:val="24"/>
                <w:szCs w:val="24"/>
                <w:lang w:eastAsia="tr-TR"/>
              </w:rPr>
              <w:t xml:space="preserve"> fıkrası kurallarına bakılmaksızın, bütçede öngörülen veya yıl içerisinde herhangi bir sebeple münhal düşen kadroların karşılarında “münhal” sözcüğü yazılı olup olmadığına ve hangi statüde alınacağına bakılmaksızın mali olanaklar elverdiği ölçüde Fona bir yıl içinde yeni istihdam edilecek toplam personel sayısı, Fondan emekli olanların sayısını aşamayacak kadardır. </w:t>
            </w:r>
            <w:proofErr w:type="gramEnd"/>
            <w:r w:rsidRPr="00096878">
              <w:rPr>
                <w:rFonts w:ascii="Times New Roman" w:eastAsia="Times New Roman" w:hAnsi="Times New Roman" w:cs="Times New Roman"/>
                <w:sz w:val="24"/>
                <w:szCs w:val="24"/>
                <w:lang w:eastAsia="tr-TR"/>
              </w:rPr>
              <w:t>Maliye İşleriyle Görevli Bakanlıktan istihdam için yetki talebinde bulunulması gerekmektedir.</w:t>
            </w:r>
          </w:p>
        </w:tc>
      </w:tr>
      <w:tr w:rsidR="00096878" w:rsidRPr="00096878" w:rsidTr="00743F66">
        <w:trPr>
          <w:trHeight w:val="207"/>
        </w:trPr>
        <w:tc>
          <w:tcPr>
            <w:tcW w:w="1823"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1317" w:type="dxa"/>
            <w:gridSpan w:val="3"/>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p>
        </w:tc>
      </w:tr>
      <w:tr w:rsidR="00096878" w:rsidRPr="00096878" w:rsidTr="00743F66">
        <w:trPr>
          <w:trHeight w:val="623"/>
        </w:trPr>
        <w:tc>
          <w:tcPr>
            <w:tcW w:w="1823"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Bakanlar Kurulunun</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Ek Ödenek Yetkisi</w:t>
            </w:r>
          </w:p>
        </w:tc>
        <w:tc>
          <w:tcPr>
            <w:tcW w:w="11317" w:type="dxa"/>
            <w:gridSpan w:val="3"/>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11. Belirli bir hizmetin yerine getirilebilmesi için şartlı olarak Fona yapılan bağışlar, Bütçenin Gelirler Cetveline gelir kaydedilerek, Bütçenin ilgili kalemlerine gelir ve gider kaydı, Bakanlar Kurulunun onayı ile yapılır.</w:t>
            </w:r>
          </w:p>
        </w:tc>
      </w:tr>
    </w:tbl>
    <w:p w:rsidR="00096878" w:rsidRPr="00096878" w:rsidRDefault="00096878" w:rsidP="00096878">
      <w:pPr>
        <w:spacing w:after="0" w:line="240" w:lineRule="auto"/>
        <w:rPr>
          <w:rFonts w:ascii="Times New Roman" w:eastAsia="Times New Roman" w:hAnsi="Times New Roman" w:cs="Times New Roman"/>
          <w:sz w:val="24"/>
          <w:szCs w:val="24"/>
          <w:lang w:eastAsia="tr-TR"/>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823"/>
        <w:gridCol w:w="517"/>
        <w:gridCol w:w="496"/>
        <w:gridCol w:w="10304"/>
      </w:tblGrid>
      <w:tr w:rsidR="00096878" w:rsidRPr="00096878" w:rsidTr="00743F66">
        <w:trPr>
          <w:gridBefore w:val="1"/>
          <w:wBefore w:w="18" w:type="dxa"/>
          <w:trHeight w:val="623"/>
        </w:trPr>
        <w:tc>
          <w:tcPr>
            <w:tcW w:w="13140" w:type="dxa"/>
            <w:gridSpan w:val="4"/>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                                                                                          DÖRDÜNCÜ KISIM</w:t>
            </w:r>
          </w:p>
          <w:p w:rsidR="00096878" w:rsidRPr="00096878" w:rsidRDefault="00096878" w:rsidP="00096878">
            <w:pPr>
              <w:spacing w:after="0" w:line="240" w:lineRule="auto"/>
              <w:jc w:val="center"/>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Son Kurallar</w:t>
            </w:r>
          </w:p>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p>
        </w:tc>
      </w:tr>
      <w:tr w:rsidR="00096878" w:rsidRPr="00096878" w:rsidTr="00743F66">
        <w:tc>
          <w:tcPr>
            <w:tcW w:w="184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Denetim</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EK III</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 207</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19.4.1985</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 590</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17.10.1986</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A.E. 786</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31.12.2010</w:t>
            </w:r>
          </w:p>
        </w:tc>
        <w:tc>
          <w:tcPr>
            <w:tcW w:w="11317" w:type="dxa"/>
            <w:gridSpan w:val="3"/>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 xml:space="preserve">12. Sayıştay, denetim yasalarının koyduğu yöntem ve kurallarla, bu Yasa ve Genel Tarım Sigortası Fonu Mali İşler Tüzüğünde öngörülen kuralları göz önünde bulundurmak suretiyle, harcamalar ile gelirlerin, Bütçeye ve </w:t>
            </w:r>
            <w:proofErr w:type="gramStart"/>
            <w:r w:rsidRPr="00096878">
              <w:rPr>
                <w:rFonts w:ascii="Times New Roman" w:eastAsia="Times New Roman" w:hAnsi="Times New Roman" w:cs="Times New Roman"/>
                <w:sz w:val="24"/>
                <w:szCs w:val="24"/>
                <w:lang w:eastAsia="tr-TR"/>
              </w:rPr>
              <w:t>Bütçe  prensiplerine</w:t>
            </w:r>
            <w:proofErr w:type="gramEnd"/>
            <w:r w:rsidRPr="00096878">
              <w:rPr>
                <w:rFonts w:ascii="Times New Roman" w:eastAsia="Times New Roman" w:hAnsi="Times New Roman" w:cs="Times New Roman"/>
                <w:sz w:val="24"/>
                <w:szCs w:val="24"/>
                <w:lang w:eastAsia="tr-TR"/>
              </w:rPr>
              <w:t xml:space="preserve"> uygun olup olmadığını denetler.</w:t>
            </w:r>
          </w:p>
        </w:tc>
      </w:tr>
      <w:tr w:rsidR="00096878" w:rsidRPr="00096878" w:rsidTr="00743F66">
        <w:tc>
          <w:tcPr>
            <w:tcW w:w="184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517"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0800"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r>
      <w:tr w:rsidR="00096878" w:rsidRPr="00096878" w:rsidTr="00743F66">
        <w:tc>
          <w:tcPr>
            <w:tcW w:w="1841" w:type="dxa"/>
            <w:gridSpan w:val="2"/>
            <w:vMerge w:val="restart"/>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Hizmet Araçlarının</w:t>
            </w:r>
          </w:p>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Kullanılması</w:t>
            </w:r>
          </w:p>
        </w:tc>
        <w:tc>
          <w:tcPr>
            <w:tcW w:w="517" w:type="dxa"/>
            <w:vMerge w:val="restart"/>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13.</w:t>
            </w:r>
          </w:p>
        </w:tc>
        <w:tc>
          <w:tcPr>
            <w:tcW w:w="496"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w:t>
            </w:r>
          </w:p>
        </w:tc>
        <w:tc>
          <w:tcPr>
            <w:tcW w:w="10304" w:type="dxa"/>
            <w:tcBorders>
              <w:top w:val="nil"/>
              <w:left w:val="nil"/>
              <w:bottom w:val="nil"/>
              <w:right w:val="nil"/>
            </w:tcBorders>
            <w:shd w:val="clear" w:color="auto" w:fill="auto"/>
          </w:tcPr>
          <w:p w:rsidR="00096878" w:rsidRPr="00096878" w:rsidRDefault="00096878" w:rsidP="00096878">
            <w:pPr>
              <w:spacing w:after="0" w:line="240" w:lineRule="auto"/>
              <w:jc w:val="both"/>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Fonun hizmet araçları, yalnız hizmetin gerektirdiği alanlarda ve mesai saatleri içinde kullanılabilir. Hizmet araçlarının mesai saatleri dışında kullanımı zorunlu olduğu hallerde ise Müdürün onayı gerekir.</w:t>
            </w:r>
          </w:p>
        </w:tc>
      </w:tr>
      <w:tr w:rsidR="00096878" w:rsidRPr="00096878" w:rsidTr="00743F66">
        <w:tc>
          <w:tcPr>
            <w:tcW w:w="1841" w:type="dxa"/>
            <w:gridSpan w:val="2"/>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517" w:type="dxa"/>
            <w:vMerge/>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96"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(2)</w:t>
            </w:r>
          </w:p>
        </w:tc>
        <w:tc>
          <w:tcPr>
            <w:tcW w:w="10304"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Hizmet araçları hiçbir şekilde özel amaçlar için kullanılamaz.</w:t>
            </w:r>
          </w:p>
        </w:tc>
      </w:tr>
      <w:tr w:rsidR="00096878" w:rsidRPr="00096878" w:rsidTr="00743F66">
        <w:tc>
          <w:tcPr>
            <w:tcW w:w="184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517"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496"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c>
          <w:tcPr>
            <w:tcW w:w="10304" w:type="dxa"/>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p>
        </w:tc>
      </w:tr>
      <w:tr w:rsidR="00096878" w:rsidRPr="00096878" w:rsidTr="00743F66">
        <w:tc>
          <w:tcPr>
            <w:tcW w:w="1841" w:type="dxa"/>
            <w:gridSpan w:val="2"/>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Yürürlüğe Giriş</w:t>
            </w:r>
          </w:p>
        </w:tc>
        <w:tc>
          <w:tcPr>
            <w:tcW w:w="11317" w:type="dxa"/>
            <w:gridSpan w:val="3"/>
            <w:tcBorders>
              <w:top w:val="nil"/>
              <w:left w:val="nil"/>
              <w:bottom w:val="nil"/>
              <w:right w:val="nil"/>
            </w:tcBorders>
            <w:shd w:val="clear" w:color="auto" w:fill="auto"/>
          </w:tcPr>
          <w:p w:rsidR="00096878" w:rsidRPr="00096878" w:rsidRDefault="00096878" w:rsidP="00096878">
            <w:pPr>
              <w:spacing w:after="0" w:line="240" w:lineRule="auto"/>
              <w:rPr>
                <w:rFonts w:ascii="Times New Roman" w:eastAsia="Times New Roman" w:hAnsi="Times New Roman" w:cs="Times New Roman"/>
                <w:sz w:val="24"/>
                <w:szCs w:val="24"/>
                <w:lang w:eastAsia="tr-TR"/>
              </w:rPr>
            </w:pPr>
            <w:r w:rsidRPr="00096878">
              <w:rPr>
                <w:rFonts w:ascii="Times New Roman" w:eastAsia="Times New Roman" w:hAnsi="Times New Roman" w:cs="Times New Roman"/>
                <w:sz w:val="24"/>
                <w:szCs w:val="24"/>
                <w:lang w:eastAsia="tr-TR"/>
              </w:rPr>
              <w:t>14. Bu Yasa, 1 Ocak 2023 tarihinden başlayarak yürürlüğe girer.</w:t>
            </w:r>
          </w:p>
        </w:tc>
      </w:tr>
    </w:tbl>
    <w:p w:rsidR="004D4A44" w:rsidRDefault="00A8229A" w:rsidP="00096878"/>
    <w:sectPr w:rsidR="004D4A44" w:rsidSect="001143F2">
      <w:pgSz w:w="16838" w:h="11906" w:orient="landscape"/>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3D74"/>
    <w:multiLevelType w:val="hybridMultilevel"/>
    <w:tmpl w:val="6DCC88E8"/>
    <w:lvl w:ilvl="0" w:tplc="0DC49BCC">
      <w:start w:val="1"/>
      <w:numFmt w:val="decimal"/>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46"/>
    <w:rsid w:val="000439C2"/>
    <w:rsid w:val="00096878"/>
    <w:rsid w:val="001143F2"/>
    <w:rsid w:val="0028385B"/>
    <w:rsid w:val="00306746"/>
    <w:rsid w:val="005E1505"/>
    <w:rsid w:val="00796115"/>
    <w:rsid w:val="008B01FD"/>
    <w:rsid w:val="00A8229A"/>
    <w:rsid w:val="00FA4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gurkan artun</cp:lastModifiedBy>
  <cp:revision>4</cp:revision>
  <cp:lastPrinted>2023-04-05T08:36:00Z</cp:lastPrinted>
  <dcterms:created xsi:type="dcterms:W3CDTF">2023-05-23T08:22:00Z</dcterms:created>
  <dcterms:modified xsi:type="dcterms:W3CDTF">2023-05-30T10:16:00Z</dcterms:modified>
</cp:coreProperties>
</file>