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B070" w14:textId="5A0C3952" w:rsidR="00977F8D" w:rsidRDefault="00977F8D" w:rsidP="00977F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Cumhu</w:t>
      </w:r>
      <w:r>
        <w:rPr>
          <w:rFonts w:ascii="Times New Roman" w:hAnsi="Times New Roman" w:cs="Times New Roman"/>
          <w:sz w:val="24"/>
          <w:szCs w:val="24"/>
        </w:rPr>
        <w:t>riyeti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Cumhuriyet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Meclisi’nin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Ocak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Yirmisekizinci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Birleşiminde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Oybirliğiyle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Hukuk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Anayasanın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94’üncü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maddesinin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fıkrası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Cumhurbaşkanı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yayımlanmak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suretiyle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olunur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17B6F1" w14:textId="77777777" w:rsidR="00977F8D" w:rsidRDefault="00977F8D" w:rsidP="00977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03807" w14:textId="15DA4013" w:rsidR="0079578C" w:rsidRPr="0066770B" w:rsidRDefault="00977F8D" w:rsidP="006677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Sayı</w:t>
      </w:r>
      <w:proofErr w:type="spellEnd"/>
      <w:r>
        <w:rPr>
          <w:rFonts w:ascii="Times New Roman" w:hAnsi="Times New Roman" w:cs="Times New Roman"/>
          <w:sz w:val="24"/>
          <w:szCs w:val="24"/>
        </w:rPr>
        <w:t>: 2/2024</w:t>
      </w:r>
    </w:p>
    <w:tbl>
      <w:tblPr>
        <w:tblStyle w:val="TableGrid1"/>
        <w:tblW w:w="9199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430"/>
        <w:gridCol w:w="236"/>
        <w:gridCol w:w="526"/>
        <w:gridCol w:w="601"/>
        <w:gridCol w:w="547"/>
        <w:gridCol w:w="531"/>
        <w:gridCol w:w="590"/>
        <w:gridCol w:w="814"/>
        <w:gridCol w:w="3348"/>
      </w:tblGrid>
      <w:tr w:rsidR="0079578C" w:rsidRPr="0079578C" w14:paraId="291B9F06" w14:textId="77777777" w:rsidTr="0079578C">
        <w:tc>
          <w:tcPr>
            <w:tcW w:w="9199" w:type="dxa"/>
            <w:gridSpan w:val="10"/>
          </w:tcPr>
          <w:p w14:paraId="7F087E5D" w14:textId="70D8E7A6" w:rsidR="00B94B48" w:rsidRDefault="0079578C" w:rsidP="0066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HUKUK DAİ</w:t>
            </w:r>
            <w:r w:rsidR="00535D44">
              <w:rPr>
                <w:rFonts w:ascii="Times New Roman" w:hAnsi="Times New Roman"/>
                <w:sz w:val="24"/>
                <w:szCs w:val="24"/>
              </w:rPr>
              <w:t>RESİ (DEĞİŞİKLİK) YASASI</w:t>
            </w:r>
          </w:p>
          <w:p w14:paraId="5EC43B16" w14:textId="77777777" w:rsidR="0079578C" w:rsidRPr="0079578C" w:rsidRDefault="0079578C" w:rsidP="00795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C" w:rsidRPr="0079578C" w14:paraId="18172757" w14:textId="77777777" w:rsidTr="0079578C">
        <w:tc>
          <w:tcPr>
            <w:tcW w:w="9199" w:type="dxa"/>
            <w:gridSpan w:val="10"/>
          </w:tcPr>
          <w:p w14:paraId="42B0EA3E" w14:textId="77777777" w:rsidR="0079578C" w:rsidRPr="0079578C" w:rsidRDefault="0079578C" w:rsidP="0084640A">
            <w:pPr>
              <w:ind w:left="184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0A" w:rsidRPr="0079578C" w14:paraId="6DF9A3A8" w14:textId="77777777" w:rsidTr="0084640A">
        <w:tc>
          <w:tcPr>
            <w:tcW w:w="1576" w:type="dxa"/>
          </w:tcPr>
          <w:p w14:paraId="180433E6" w14:textId="77777777" w:rsidR="0084640A" w:rsidRDefault="0084640A" w:rsidP="0079578C">
            <w:pPr>
              <w:ind w:left="184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9"/>
          </w:tcPr>
          <w:p w14:paraId="58C86EDD" w14:textId="77777777" w:rsidR="0084640A" w:rsidRPr="0079578C" w:rsidRDefault="0084640A" w:rsidP="00846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Kuzey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Kıbrıs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Türk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Cumhuriyeti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Cumhuriyet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Meclisi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aşağıdaki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Yasayı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yapar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229D4E" w14:textId="2CE2E8A8" w:rsidR="0084640A" w:rsidRDefault="0084640A" w:rsidP="0079578C">
            <w:pPr>
              <w:ind w:left="184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35" w:rsidRPr="0079578C" w14:paraId="04F82B8B" w14:textId="77777777" w:rsidTr="00292134">
        <w:trPr>
          <w:trHeight w:val="2302"/>
        </w:trPr>
        <w:tc>
          <w:tcPr>
            <w:tcW w:w="1576" w:type="dxa"/>
          </w:tcPr>
          <w:p w14:paraId="4B4CEDC7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Kısa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İsim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4AB578" w14:textId="01BF8CBF" w:rsidR="00E83335" w:rsidRPr="0079578C" w:rsidRDefault="00292134" w:rsidP="00143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3335" w:rsidRPr="0079578C">
              <w:rPr>
                <w:rFonts w:ascii="Times New Roman" w:hAnsi="Times New Roman"/>
                <w:sz w:val="24"/>
                <w:szCs w:val="24"/>
              </w:rPr>
              <w:t>72/1991</w:t>
            </w:r>
          </w:p>
          <w:p w14:paraId="0A20B60E" w14:textId="408906FC" w:rsidR="00E83335" w:rsidRPr="0079578C" w:rsidRDefault="00E83335" w:rsidP="00143180">
            <w:pPr>
              <w:ind w:left="109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1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83/1991  </w:t>
            </w:r>
          </w:p>
          <w:p w14:paraId="23F4FB6C" w14:textId="63DDC6F7" w:rsidR="00E83335" w:rsidRPr="0079578C" w:rsidRDefault="00E83335" w:rsidP="00143180">
            <w:pPr>
              <w:ind w:left="109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</w:t>
            </w:r>
            <w:r w:rsidR="0014318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</w:t>
            </w: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48/1994 </w:t>
            </w:r>
          </w:p>
          <w:p w14:paraId="085E2AE4" w14:textId="4E26CE44" w:rsidR="00E83335" w:rsidRPr="0079578C" w:rsidRDefault="00E83335" w:rsidP="00143180">
            <w:pPr>
              <w:ind w:left="109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</w:t>
            </w:r>
            <w:r w:rsidR="0014318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</w:t>
            </w: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42/1995 </w:t>
            </w:r>
          </w:p>
          <w:p w14:paraId="1FA01956" w14:textId="41C3ED0E" w:rsidR="00E83335" w:rsidRPr="0079578C" w:rsidRDefault="00E83335" w:rsidP="00143180">
            <w:pPr>
              <w:ind w:left="109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</w:t>
            </w:r>
            <w:r w:rsidR="0014318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</w:t>
            </w: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58/2000 </w:t>
            </w:r>
          </w:p>
          <w:p w14:paraId="5BF8CE09" w14:textId="146A1093" w:rsidR="00E83335" w:rsidRPr="0079578C" w:rsidRDefault="00E83335" w:rsidP="00143180">
            <w:pPr>
              <w:ind w:left="109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14318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</w:t>
            </w: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61/2002  </w:t>
            </w:r>
          </w:p>
          <w:p w14:paraId="231BAA45" w14:textId="14CD5B46" w:rsidR="00E83335" w:rsidRPr="00397060" w:rsidRDefault="00E83335" w:rsidP="00397060">
            <w:pPr>
              <w:ind w:left="109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</w:t>
            </w:r>
            <w:r w:rsidR="0014318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</w:t>
            </w: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>27/2006</w:t>
            </w:r>
          </w:p>
        </w:tc>
        <w:tc>
          <w:tcPr>
            <w:tcW w:w="7623" w:type="dxa"/>
            <w:gridSpan w:val="9"/>
            <w:hideMark/>
          </w:tcPr>
          <w:p w14:paraId="3233B6CA" w14:textId="6348EE26" w:rsidR="00E83335" w:rsidRPr="00E83335" w:rsidRDefault="00E83335" w:rsidP="00E83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3335">
              <w:rPr>
                <w:rFonts w:ascii="Times New Roman" w:hAnsi="Times New Roman"/>
                <w:sz w:val="24"/>
                <w:szCs w:val="24"/>
              </w:rPr>
              <w:t xml:space="preserve">Bu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Yasa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Hukuk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Dairesi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Değişiklik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Yasası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olarak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isimlendirilir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aşağıda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Esas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Yasa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olarak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anılan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Hukuk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Dairesi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Yasası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birlikte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335">
              <w:rPr>
                <w:rFonts w:ascii="Times New Roman" w:hAnsi="Times New Roman"/>
                <w:sz w:val="24"/>
                <w:szCs w:val="24"/>
              </w:rPr>
              <w:t>okunur</w:t>
            </w:r>
            <w:proofErr w:type="spellEnd"/>
            <w:r w:rsidRPr="00E833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3335" w:rsidRPr="0079578C" w14:paraId="1D4E0E3C" w14:textId="77777777" w:rsidTr="00FB62EC">
        <w:tc>
          <w:tcPr>
            <w:tcW w:w="1576" w:type="dxa"/>
            <w:vMerge w:val="restart"/>
            <w:hideMark/>
          </w:tcPr>
          <w:p w14:paraId="3FAB23E6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78C">
              <w:rPr>
                <w:rFonts w:ascii="Times New Roman" w:hAnsi="Times New Roman"/>
                <w:noProof/>
                <w:sz w:val="24"/>
                <w:szCs w:val="24"/>
              </w:rPr>
              <w:t>Esas Yasanın 23’üncü Maddesinin</w:t>
            </w:r>
          </w:p>
          <w:p w14:paraId="238D156F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noProof/>
                <w:sz w:val="24"/>
                <w:szCs w:val="24"/>
              </w:rPr>
              <w:t>Değiştirilmesi</w:t>
            </w:r>
          </w:p>
        </w:tc>
        <w:tc>
          <w:tcPr>
            <w:tcW w:w="7623" w:type="dxa"/>
            <w:gridSpan w:val="9"/>
            <w:hideMark/>
          </w:tcPr>
          <w:p w14:paraId="1B9AD0EE" w14:textId="79C46A08" w:rsidR="00E83335" w:rsidRPr="0079578C" w:rsidRDefault="00E83335" w:rsidP="00B94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Esas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Yasa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, 23’üncü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maddesinin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(3)’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üncü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fıkrasından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hemen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sonra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aşağıdaki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yeni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(4)’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üncü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(5)’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inci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fıkra</w:t>
            </w:r>
            <w:r w:rsidR="009328F8">
              <w:rPr>
                <w:rFonts w:ascii="Times New Roman" w:eastAsia="Times New Roman" w:hAnsi="Times New Roman"/>
                <w:sz w:val="24"/>
                <w:szCs w:val="24"/>
              </w:rPr>
              <w:t>lar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eklenmek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suretiyle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değiştirilir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E83335" w:rsidRPr="0079578C" w14:paraId="4FFEC937" w14:textId="77777777" w:rsidTr="00FB62EC">
        <w:tc>
          <w:tcPr>
            <w:tcW w:w="1576" w:type="dxa"/>
            <w:vMerge/>
          </w:tcPr>
          <w:p w14:paraId="6B5EFD22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23" w:type="dxa"/>
            <w:gridSpan w:val="9"/>
          </w:tcPr>
          <w:p w14:paraId="3621F69E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35" w:rsidRPr="0079578C" w14:paraId="6F61C740" w14:textId="77777777" w:rsidTr="00E83335">
        <w:tc>
          <w:tcPr>
            <w:tcW w:w="0" w:type="auto"/>
            <w:vMerge/>
            <w:vAlign w:val="center"/>
            <w:hideMark/>
          </w:tcPr>
          <w:p w14:paraId="5684CA1E" w14:textId="77777777" w:rsidR="00E83335" w:rsidRPr="0079578C" w:rsidRDefault="00E83335" w:rsidP="0079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34E168AE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hideMark/>
          </w:tcPr>
          <w:p w14:paraId="4679B7AC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“(4)</w:t>
            </w:r>
          </w:p>
        </w:tc>
        <w:tc>
          <w:tcPr>
            <w:tcW w:w="6431" w:type="dxa"/>
            <w:gridSpan w:val="6"/>
            <w:hideMark/>
          </w:tcPr>
          <w:p w14:paraId="468820DE" w14:textId="0E1C84B4" w:rsidR="00E83335" w:rsidRPr="0079578C" w:rsidRDefault="00E83335" w:rsidP="007C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Kıdemli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Yardımcılarına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en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otuz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kilometre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seyahat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etmek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zorunda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kalmaları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Başsavcı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tarafından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uygun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görülmesi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halinde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katettikleri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her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kilometre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için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kamu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görevlilerine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kilometre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başına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ödenen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miktarda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oranda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yolluk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verilir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3335" w:rsidRPr="0079578C" w14:paraId="00CDAB93" w14:textId="77777777" w:rsidTr="00E83335">
        <w:tc>
          <w:tcPr>
            <w:tcW w:w="1576" w:type="dxa"/>
          </w:tcPr>
          <w:p w14:paraId="1525E3F4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3ED223A3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hideMark/>
          </w:tcPr>
          <w:p w14:paraId="1EADF5D0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 xml:space="preserve">  (5)</w:t>
            </w:r>
          </w:p>
        </w:tc>
        <w:tc>
          <w:tcPr>
            <w:tcW w:w="6431" w:type="dxa"/>
            <w:gridSpan w:val="6"/>
            <w:hideMark/>
          </w:tcPr>
          <w:p w14:paraId="12BBFEFD" w14:textId="7DB3C3CF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Başsavcı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tarafı</w:t>
            </w:r>
            <w:r w:rsidR="00096D15">
              <w:rPr>
                <w:rFonts w:ascii="Times New Roman" w:hAnsi="Times New Roman"/>
                <w:sz w:val="24"/>
                <w:szCs w:val="24"/>
              </w:rPr>
              <w:t>ndan</w:t>
            </w:r>
            <w:proofErr w:type="spellEnd"/>
            <w:r w:rsidR="00096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D15">
              <w:rPr>
                <w:rFonts w:ascii="Times New Roman" w:hAnsi="Times New Roman"/>
                <w:sz w:val="24"/>
                <w:szCs w:val="24"/>
              </w:rPr>
              <w:t>mesai</w:t>
            </w:r>
            <w:proofErr w:type="spellEnd"/>
            <w:r w:rsidR="00096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D15">
              <w:rPr>
                <w:rFonts w:ascii="Times New Roman" w:hAnsi="Times New Roman"/>
                <w:sz w:val="24"/>
                <w:szCs w:val="24"/>
              </w:rPr>
              <w:t>saatleri</w:t>
            </w:r>
            <w:proofErr w:type="spellEnd"/>
            <w:r w:rsidR="00096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D15">
              <w:rPr>
                <w:rFonts w:ascii="Times New Roman" w:hAnsi="Times New Roman"/>
                <w:sz w:val="24"/>
                <w:szCs w:val="24"/>
              </w:rPr>
              <w:t>dışında</w:t>
            </w:r>
            <w:proofErr w:type="spellEnd"/>
            <w:r w:rsidR="00143180">
              <w:rPr>
                <w:rFonts w:ascii="Times New Roman" w:hAnsi="Times New Roman"/>
                <w:sz w:val="24"/>
                <w:szCs w:val="24"/>
              </w:rPr>
              <w:t>,</w:t>
            </w:r>
            <w:r w:rsidR="00096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z w:val="24"/>
                <w:szCs w:val="24"/>
              </w:rPr>
              <w:t>Nöbetçi</w:t>
            </w:r>
            <w:proofErr w:type="spellEnd"/>
            <w:r w:rsidR="00143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z w:val="24"/>
                <w:szCs w:val="24"/>
              </w:rPr>
              <w:t>S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>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olarak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görevlendirilmiş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olan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Yardımcılarına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aylık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maaşlarının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%3'ü (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yüzde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üçü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oranında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tahsisat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verilir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31DBE4" w14:textId="31064BF8" w:rsidR="00E83335" w:rsidRPr="0079578C" w:rsidRDefault="00143180" w:rsidP="007957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Ancak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bu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tahsisat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vergiye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tabi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olup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emeklilik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amaçları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bakımından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dikkate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alınmaz</w:t>
            </w:r>
            <w:proofErr w:type="spellEnd"/>
            <w:r w:rsidR="00E83335" w:rsidRPr="0079578C">
              <w:rPr>
                <w:rFonts w:ascii="Times New Roman" w:hAnsi="Times New Roman"/>
                <w:bCs/>
                <w:sz w:val="24"/>
                <w:szCs w:val="24"/>
              </w:rPr>
              <w:t>."</w:t>
            </w:r>
          </w:p>
        </w:tc>
      </w:tr>
      <w:tr w:rsidR="0079578C" w:rsidRPr="0079578C" w14:paraId="1E7C1472" w14:textId="77777777" w:rsidTr="00E83335">
        <w:tc>
          <w:tcPr>
            <w:tcW w:w="1576" w:type="dxa"/>
          </w:tcPr>
          <w:p w14:paraId="6D3BCF89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2A95B04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B97B229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159AB51A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6"/>
          </w:tcPr>
          <w:p w14:paraId="6B2250A1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35" w:rsidRPr="0079578C" w14:paraId="34B6251D" w14:textId="77777777" w:rsidTr="00094CD0">
        <w:tc>
          <w:tcPr>
            <w:tcW w:w="1576" w:type="dxa"/>
            <w:vMerge w:val="restart"/>
            <w:hideMark/>
          </w:tcPr>
          <w:p w14:paraId="192918E2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78C">
              <w:rPr>
                <w:rFonts w:ascii="Times New Roman" w:hAnsi="Times New Roman"/>
                <w:noProof/>
                <w:sz w:val="24"/>
                <w:szCs w:val="24"/>
              </w:rPr>
              <w:t>Esas Yasanın 27’nci Maddesinin</w:t>
            </w:r>
          </w:p>
          <w:p w14:paraId="58AC43CF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noProof/>
                <w:sz w:val="24"/>
                <w:szCs w:val="24"/>
              </w:rPr>
              <w:t>Değiştirilmesi</w:t>
            </w:r>
          </w:p>
        </w:tc>
        <w:tc>
          <w:tcPr>
            <w:tcW w:w="7623" w:type="dxa"/>
            <w:gridSpan w:val="9"/>
            <w:hideMark/>
          </w:tcPr>
          <w:p w14:paraId="420E2BE1" w14:textId="7F24A9A4" w:rsidR="00E83335" w:rsidRPr="0079578C" w:rsidRDefault="00E83335" w:rsidP="00B94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Esas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Yasa</w:t>
            </w:r>
            <w:proofErr w:type="spellEnd"/>
            <w:r w:rsidR="009328F8">
              <w:rPr>
                <w:rFonts w:ascii="Times New Roman" w:hAnsi="Times New Roman"/>
                <w:sz w:val="24"/>
                <w:szCs w:val="24"/>
              </w:rPr>
              <w:t>,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 xml:space="preserve"> 27’nci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maddesi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kaldırılmak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yerine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aşağıdaki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yeni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27’nci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madde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konulmak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suretiyle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değiştirilir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83335" w:rsidRPr="0079578C" w14:paraId="7E7D2C24" w14:textId="77777777" w:rsidTr="00094CD0">
        <w:tc>
          <w:tcPr>
            <w:tcW w:w="1576" w:type="dxa"/>
            <w:vMerge/>
          </w:tcPr>
          <w:p w14:paraId="7625F23A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623" w:type="dxa"/>
            <w:gridSpan w:val="9"/>
          </w:tcPr>
          <w:p w14:paraId="28CA932F" w14:textId="77777777" w:rsidR="00E83335" w:rsidRPr="0079578C" w:rsidRDefault="00E83335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C" w:rsidRPr="0079578C" w14:paraId="142BB1CE" w14:textId="77777777" w:rsidTr="0079578C">
        <w:tc>
          <w:tcPr>
            <w:tcW w:w="0" w:type="auto"/>
            <w:vMerge/>
            <w:vAlign w:val="center"/>
            <w:hideMark/>
          </w:tcPr>
          <w:p w14:paraId="4ABAA339" w14:textId="77777777" w:rsidR="0079578C" w:rsidRPr="0079578C" w:rsidRDefault="0079578C" w:rsidP="0079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7514ABC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hideMark/>
          </w:tcPr>
          <w:p w14:paraId="350FDF7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  <w:lang w:val="tr-TR"/>
              </w:rPr>
              <w:t>“Savcıların Görevlerine Son Verilmesi ve Disiplin Konuları</w:t>
            </w:r>
          </w:p>
        </w:tc>
        <w:tc>
          <w:tcPr>
            <w:tcW w:w="547" w:type="dxa"/>
            <w:hideMark/>
          </w:tcPr>
          <w:p w14:paraId="3CFCCC25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1" w:type="dxa"/>
            <w:hideMark/>
          </w:tcPr>
          <w:p w14:paraId="49308135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4752" w:type="dxa"/>
            <w:gridSpan w:val="3"/>
          </w:tcPr>
          <w:p w14:paraId="0ACDCC85" w14:textId="3C8CF8C8" w:rsidR="0079578C" w:rsidRPr="0079578C" w:rsidRDefault="009328F8" w:rsidP="00B94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Savcılar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Kurulunca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9578C" w:rsidRPr="0079578C">
              <w:rPr>
                <w:rFonts w:ascii="Times New Roman" w:hAnsi="Times New Roman"/>
                <w:sz w:val="24"/>
                <w:szCs w:val="24"/>
              </w:rPr>
              <w:t>uruluna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sevkine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karar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verilmesi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sonrası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görevine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devamını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imkânsız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kılacak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derecede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uzun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süre</w:t>
            </w:r>
            <w:proofErr w:type="spellEnd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>için</w:t>
            </w:r>
            <w:proofErr w:type="spellEnd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kendini</w:t>
            </w:r>
            <w:proofErr w:type="spellEnd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>aciz</w:t>
            </w:r>
            <w:proofErr w:type="spellEnd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kılan</w:t>
            </w:r>
            <w:proofErr w:type="spellEnd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>akli</w:t>
            </w:r>
            <w:proofErr w:type="spellEnd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>veya</w:t>
            </w:r>
            <w:proofErr w:type="spellEnd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>bedeni</w:t>
            </w:r>
            <w:proofErr w:type="spellEnd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yetersizliği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hastalığı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olduğu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görevini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daimi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olarak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yerine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getiremeyecek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durumda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bulunduğu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>ağlık</w:t>
            </w:r>
            <w:proofErr w:type="spellEnd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>urulu</w:t>
            </w:r>
            <w:proofErr w:type="spellEnd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>raporu</w:t>
            </w:r>
            <w:proofErr w:type="spellEnd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>ile</w:t>
            </w:r>
            <w:proofErr w:type="spellEnd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>kesin</w:t>
            </w:r>
            <w:proofErr w:type="spellEnd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>olarak</w:t>
            </w:r>
            <w:proofErr w:type="spellEnd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lastRenderedPageBreak/>
              <w:t>anlaşılan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herhangi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="00143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Savcılar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Kurulu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tarafından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emekliye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sevk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edilir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Bu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suretle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emekliliğe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sevk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edilen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bir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Savcı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Anayasa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ve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diğer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mevzuatın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gösterdiği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emeklilik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hak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ve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ödeneklerini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alır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79578C" w:rsidRPr="0079578C" w14:paraId="249A0C59" w14:textId="77777777" w:rsidTr="0079578C">
        <w:tc>
          <w:tcPr>
            <w:tcW w:w="1576" w:type="dxa"/>
          </w:tcPr>
          <w:p w14:paraId="6B50FB1C" w14:textId="0730E268" w:rsidR="0079578C" w:rsidRPr="0079578C" w:rsidRDefault="0079578C" w:rsidP="0066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1CBE41C2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49ED6832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33C3334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hideMark/>
          </w:tcPr>
          <w:p w14:paraId="629256CC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752" w:type="dxa"/>
            <w:gridSpan w:val="3"/>
            <w:hideMark/>
          </w:tcPr>
          <w:p w14:paraId="2318B890" w14:textId="113B9C58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Kurulu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,</w:t>
            </w:r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me</w:t>
            </w:r>
            <w:r w:rsidR="00143180">
              <w:rPr>
                <w:rFonts w:ascii="Times New Roman" w:hAnsi="Times New Roman"/>
                <w:spacing w:val="-1"/>
                <w:sz w:val="24"/>
                <w:szCs w:val="24"/>
              </w:rPr>
              <w:t>sleki</w:t>
            </w:r>
            <w:proofErr w:type="spellEnd"/>
            <w:r w:rsidR="001431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pacing w:val="-1"/>
                <w:sz w:val="24"/>
                <w:szCs w:val="24"/>
              </w:rPr>
              <w:t>yetersizlikleri</w:t>
            </w:r>
            <w:proofErr w:type="spellEnd"/>
            <w:r w:rsidR="001431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pacing w:val="-1"/>
                <w:sz w:val="24"/>
                <w:szCs w:val="24"/>
              </w:rPr>
              <w:t>saptanan</w:t>
            </w:r>
            <w:proofErr w:type="spellEnd"/>
            <w:r w:rsidR="001431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avcıları</w:t>
            </w:r>
            <w:proofErr w:type="spellEnd"/>
            <w:r w:rsidR="00143180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görevden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çekilmeye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davet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edebilir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14:paraId="066D27BC" w14:textId="36E987CD" w:rsidR="0079578C" w:rsidRPr="0079578C" w:rsidRDefault="00143180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</w:t>
            </w:r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Bu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fıkra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uyarınca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yapılacak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işlemler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>disiplin</w:t>
            </w:r>
            <w:proofErr w:type="spellEnd"/>
            <w:r w:rsidR="0079578C"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yargılamasındaki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usul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kuralları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çerçevesinde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yürütülür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15C4ED58" w14:textId="77777777" w:rsidTr="0079578C">
        <w:tc>
          <w:tcPr>
            <w:tcW w:w="1576" w:type="dxa"/>
          </w:tcPr>
          <w:p w14:paraId="44D87CE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03BE00A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540EB5B9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535E6F1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hideMark/>
          </w:tcPr>
          <w:p w14:paraId="68D8D35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590" w:type="dxa"/>
            <w:hideMark/>
          </w:tcPr>
          <w:p w14:paraId="6130B8D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162" w:type="dxa"/>
            <w:gridSpan w:val="2"/>
            <w:hideMark/>
          </w:tcPr>
          <w:p w14:paraId="252F5909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Kurulu</w:t>
            </w:r>
            <w:proofErr w:type="spellEnd"/>
            <w:proofErr w:type="gramStart"/>
            <w:r w:rsidRPr="0079578C">
              <w:rPr>
                <w:rFonts w:ascii="Times New Roman" w:hAnsi="Times New Roman"/>
                <w:sz w:val="24"/>
                <w:szCs w:val="24"/>
              </w:rPr>
              <w:t>,  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şikâyet</w:t>
            </w:r>
            <w:proofErr w:type="spellEnd"/>
            <w:proofErr w:type="gramEnd"/>
            <w:r w:rsidRPr="0079578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üzerine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resen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Savcıyla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soruşturması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başlatılmasına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karar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vermeden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önce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kendisine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intikal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eden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veya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ettirilen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ihbar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şikâyetleri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eldeki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bilgi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delilleri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isnat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olunan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hal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davranışları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göz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önünde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tutarak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inceler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Bu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inceleme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sonucunda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disiplin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soruşturması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yapılmasına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karar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verirse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uygun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göreceği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Savcıyı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soruşturmayı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yürütmek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üzere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görevlendirir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14:paraId="247774B4" w14:textId="20E37922" w:rsidR="0079578C" w:rsidRPr="0079578C" w:rsidRDefault="00143180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</w:t>
            </w:r>
            <w:proofErr w:type="spellStart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>Ancak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>şikâyetçinin</w:t>
            </w:r>
            <w:proofErr w:type="spellEnd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9"/>
                <w:sz w:val="24"/>
                <w:szCs w:val="24"/>
              </w:rPr>
              <w:t>kimliği</w:t>
            </w:r>
            <w:proofErr w:type="spellEnd"/>
            <w:r w:rsidR="0079578C" w:rsidRPr="0079578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belirlenemeyenler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imzasız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yapılanlarla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esasa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ilişkin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olgu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delilleri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gösterilmeyen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ihbar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şikâyetler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işleme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konulmaz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5B6CDB6B" w14:textId="77777777" w:rsidTr="0079578C">
        <w:tc>
          <w:tcPr>
            <w:tcW w:w="1576" w:type="dxa"/>
          </w:tcPr>
          <w:p w14:paraId="3ED1F52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B79FA2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7A73CCFC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478BD629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5AA3AB0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53E5E87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162" w:type="dxa"/>
            <w:gridSpan w:val="2"/>
            <w:hideMark/>
          </w:tcPr>
          <w:p w14:paraId="3614EA4A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Soruşturmayı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yürütmekle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görevlendirilen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hakkında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soruşturma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başlatılan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Savcıya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soruşturmaya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neden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olan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eylem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davranışlarını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gecikmeksizin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yazılı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olarak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bildirir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yazılı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savunmasını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ister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Savunma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için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verilecek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süre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on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beş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günden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olamaz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22367DDE" w14:textId="77777777" w:rsidTr="0079578C">
        <w:tc>
          <w:tcPr>
            <w:tcW w:w="1576" w:type="dxa"/>
          </w:tcPr>
          <w:p w14:paraId="7A2A7D19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B0E1122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75B4124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182F02B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5E88124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814" w:type="dxa"/>
            <w:hideMark/>
          </w:tcPr>
          <w:p w14:paraId="2532FC6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(a)</w:t>
            </w:r>
          </w:p>
        </w:tc>
        <w:tc>
          <w:tcPr>
            <w:tcW w:w="3348" w:type="dxa"/>
            <w:hideMark/>
          </w:tcPr>
          <w:p w14:paraId="300A9D04" w14:textId="1C0E15EA" w:rsidR="0079578C" w:rsidRPr="0079578C" w:rsidRDefault="0079578C" w:rsidP="007C50D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Soruşturma</w:t>
            </w:r>
            <w:proofErr w:type="spellEnd"/>
            <w:r w:rsidR="0014318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>ürütmekle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z w:val="24"/>
                <w:szCs w:val="24"/>
              </w:rPr>
              <w:t>görevlendirilen</w:t>
            </w:r>
            <w:proofErr w:type="spellEnd"/>
            <w:r w:rsidR="00143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soruşturma</w:t>
            </w:r>
            <w:proofErr w:type="spellEnd"/>
            <w:r w:rsidR="001431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pacing w:val="-2"/>
                <w:sz w:val="24"/>
                <w:szCs w:val="24"/>
              </w:rPr>
              <w:t>sırasında</w:t>
            </w:r>
            <w:proofErr w:type="spellEnd"/>
            <w:r w:rsidR="0014318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143180">
              <w:rPr>
                <w:rFonts w:ascii="Times New Roman" w:hAnsi="Times New Roman"/>
                <w:spacing w:val="-2"/>
                <w:sz w:val="24"/>
                <w:szCs w:val="24"/>
              </w:rPr>
              <w:t>konu</w:t>
            </w:r>
            <w:proofErr w:type="spellEnd"/>
            <w:r w:rsidR="0014318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ile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ilgili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olaylar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hakkında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bilgisi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olan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herkesten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yazılı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ifade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alma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belgeleri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isteme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hakkına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sahiptir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79578C" w:rsidRPr="0079578C" w14:paraId="35E01159" w14:textId="77777777" w:rsidTr="0079578C">
        <w:tc>
          <w:tcPr>
            <w:tcW w:w="1576" w:type="dxa"/>
          </w:tcPr>
          <w:p w14:paraId="1F877834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2B1B3277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4D6BD55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3CE39FA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371977A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hideMark/>
          </w:tcPr>
          <w:p w14:paraId="37CCDED0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(b)</w:t>
            </w:r>
          </w:p>
        </w:tc>
        <w:tc>
          <w:tcPr>
            <w:tcW w:w="3348" w:type="dxa"/>
            <w:hideMark/>
          </w:tcPr>
          <w:p w14:paraId="498CB3F1" w14:textId="636B7AE9" w:rsidR="0079578C" w:rsidRPr="0079578C" w:rsidRDefault="0079578C" w:rsidP="007C50D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Yazılı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ifade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alınması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için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gösterilen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vakit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yerde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hazır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bulunmayı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9328F8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932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8F8">
              <w:rPr>
                <w:rFonts w:ascii="Times New Roman" w:hAnsi="Times New Roman"/>
                <w:sz w:val="24"/>
                <w:szCs w:val="24"/>
              </w:rPr>
              <w:t>ifade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vermeyi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reddeden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kimse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soruşturma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amaçları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bakımından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gerekli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görülen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buna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bağlı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olarak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578C">
              <w:rPr>
                <w:rFonts w:ascii="Times New Roman" w:hAnsi="Times New Roman"/>
                <w:sz w:val="24"/>
                <w:szCs w:val="24"/>
              </w:rPr>
              <w:t>kendisinden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makûl</w:t>
            </w:r>
            <w:proofErr w:type="spellEnd"/>
            <w:proofErr w:type="gram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vakit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yerde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belge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ibraz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etmesi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istenen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makûl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sebep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bulunmadan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ilgili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belgeyi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ibraz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etmeyi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reddeden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kimse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,</w:t>
            </w:r>
            <w:r w:rsidR="00143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suç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işlemiş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olur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mahkumiyeti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halinde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üç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yıla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lastRenderedPageBreak/>
              <w:t>kadar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hapis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65D4" w:rsidRPr="00503EB5">
              <w:rPr>
                <w:rFonts w:ascii="Times New Roman" w:hAnsi="Times New Roman"/>
                <w:sz w:val="24"/>
                <w:szCs w:val="24"/>
              </w:rPr>
              <w:t>cezasına</w:t>
            </w:r>
            <w:proofErr w:type="spellEnd"/>
            <w:r w:rsidR="00FC65D4" w:rsidRPr="0050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EB5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503EB5">
              <w:rPr>
                <w:rFonts w:ascii="Times New Roman" w:hAnsi="Times New Roman"/>
                <w:spacing w:val="-8"/>
                <w:sz w:val="24"/>
                <w:szCs w:val="24"/>
              </w:rPr>
              <w:t>yürürlükteki</w:t>
            </w:r>
            <w:proofErr w:type="spellEnd"/>
            <w:r w:rsid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brüt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asgari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ücretin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2 (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iki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) 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katına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kadar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FC65D4">
              <w:rPr>
                <w:rFonts w:ascii="Times New Roman" w:hAnsi="Times New Roman"/>
                <w:sz w:val="24"/>
                <w:szCs w:val="24"/>
              </w:rPr>
              <w:t xml:space="preserve">para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cezasına</w:t>
            </w:r>
            <w:proofErr w:type="spellEnd"/>
            <w:r w:rsidRPr="0079578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çarptırılabilir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79578C" w:rsidRPr="0079578C" w14:paraId="5849B814" w14:textId="77777777" w:rsidTr="0079578C">
        <w:tc>
          <w:tcPr>
            <w:tcW w:w="1576" w:type="dxa"/>
          </w:tcPr>
          <w:p w14:paraId="70065347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3DB5C3BA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01229702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2707D270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7220DAB1" w14:textId="49DDE1FE" w:rsidR="0079578C" w:rsidRPr="0079578C" w:rsidRDefault="009328F8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(Ç</w:t>
            </w:r>
            <w:r w:rsidR="0079578C"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7172B2FE" w14:textId="161AF197" w:rsidR="0079578C" w:rsidRPr="0079578C" w:rsidRDefault="0079578C" w:rsidP="007C50D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soruşturması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geciktirilmeksizin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yapılır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savunma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için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verilen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sürenin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bitiminden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itibaren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otuz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gün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578C">
              <w:rPr>
                <w:rFonts w:ascii="Times New Roman" w:hAnsi="Times New Roman"/>
                <w:sz w:val="24"/>
                <w:szCs w:val="24"/>
              </w:rPr>
              <w:t>içerisinde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="003C6CEA">
              <w:rPr>
                <w:rFonts w:ascii="Times New Roman" w:hAnsi="Times New Roman"/>
                <w:sz w:val="24"/>
                <w:szCs w:val="24"/>
              </w:rPr>
              <w:t>sonuçlandırılır</w:t>
            </w:r>
            <w:proofErr w:type="spellEnd"/>
            <w:proofErr w:type="gramEnd"/>
            <w:r w:rsidR="003C6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C6CEA">
              <w:rPr>
                <w:rFonts w:ascii="Times New Roman" w:hAnsi="Times New Roman"/>
                <w:sz w:val="24"/>
                <w:szCs w:val="24"/>
              </w:rPr>
              <w:t>Soruşturma</w:t>
            </w:r>
            <w:proofErr w:type="spellEnd"/>
            <w:r w:rsidR="003C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sonucunda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temin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edilen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bilgi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belgelerle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yazılı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ifadeler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raporla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birlikte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Kurulu</w:t>
            </w:r>
            <w:proofErr w:type="spellEnd"/>
            <w:proofErr w:type="gram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Başkanına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sunulur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79578C" w:rsidRPr="0079578C" w14:paraId="38A7422E" w14:textId="77777777" w:rsidTr="0079578C">
        <w:tc>
          <w:tcPr>
            <w:tcW w:w="1576" w:type="dxa"/>
          </w:tcPr>
          <w:p w14:paraId="1F27B035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509FAC0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1897936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09FE06B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7153AA4F" w14:textId="36E708FF" w:rsidR="0079578C" w:rsidRPr="0079578C" w:rsidRDefault="0079578C" w:rsidP="00932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</w:t>
            </w:r>
            <w:r w:rsidR="009328F8">
              <w:rPr>
                <w:rFonts w:ascii="Times New Roman" w:hAnsi="Times New Roman"/>
                <w:sz w:val="24"/>
                <w:szCs w:val="24"/>
              </w:rPr>
              <w:t>D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31B99C20" w14:textId="0D84C21F" w:rsidR="0079578C" w:rsidRPr="0079578C" w:rsidRDefault="0079578C" w:rsidP="007C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Kurulu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Başkanı</w:t>
            </w:r>
            <w:proofErr w:type="spellEnd"/>
            <w:proofErr w:type="gramStart"/>
            <w:r w:rsidRPr="0079578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79578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kendisine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verilen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rapor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sair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evrakı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gecikmeksizin</w:t>
            </w:r>
            <w:proofErr w:type="spellEnd"/>
            <w:r w:rsidR="00143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pacing w:val="-4"/>
                <w:sz w:val="24"/>
                <w:szCs w:val="24"/>
              </w:rPr>
              <w:t>Yüksek</w:t>
            </w:r>
            <w:proofErr w:type="spellEnd"/>
            <w:r w:rsidR="007C50D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Kurulunun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bilgisine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getirir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1BD58899" w14:textId="77777777" w:rsidTr="0079578C">
        <w:tc>
          <w:tcPr>
            <w:tcW w:w="1576" w:type="dxa"/>
          </w:tcPr>
          <w:p w14:paraId="03A2AE4A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1304FC9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415BE18F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7CE91292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147A7343" w14:textId="26BBB0EB" w:rsidR="0079578C" w:rsidRPr="0079578C" w:rsidRDefault="009328F8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</w:t>
            </w:r>
            <w:r w:rsidR="0079578C"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38A48D82" w14:textId="3AC27006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Kurulu</w:t>
            </w:r>
            <w:proofErr w:type="spellEnd"/>
            <w:r w:rsidR="00143180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kendisine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sunulan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rapor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evrakı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inceledikten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sonra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hakkında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kovuşturması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başlatılmasına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veya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başlatılmamasına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karar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verebilir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Kurulu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disiplin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kovuşturması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başlatılmasına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karar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verirse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suçunun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kovuşturmasını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yürütmek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üzere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uygun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göreceği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Savcıyı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görevlendirir</w:t>
            </w:r>
            <w:proofErr w:type="spellEnd"/>
            <w:r w:rsidRPr="0079578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79578C" w:rsidRPr="0079578C" w14:paraId="6353C469" w14:textId="77777777" w:rsidTr="0079578C">
        <w:tc>
          <w:tcPr>
            <w:tcW w:w="1576" w:type="dxa"/>
          </w:tcPr>
          <w:p w14:paraId="69E61D49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3BFE7334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2B966B22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4498B7A4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31C9E293" w14:textId="67501272" w:rsidR="0079578C" w:rsidRPr="0079578C" w:rsidRDefault="0079578C" w:rsidP="00932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</w:t>
            </w:r>
            <w:r w:rsidR="009328F8">
              <w:rPr>
                <w:rFonts w:ascii="Times New Roman" w:hAnsi="Times New Roman"/>
                <w:sz w:val="24"/>
                <w:szCs w:val="24"/>
              </w:rPr>
              <w:t>F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2905ECA2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Görevlendirilen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gecikmeksizin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ithamname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hazırlar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12950BD8" w14:textId="77777777" w:rsidTr="0079578C">
        <w:tc>
          <w:tcPr>
            <w:tcW w:w="1576" w:type="dxa"/>
          </w:tcPr>
          <w:p w14:paraId="1FA2EDE0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88C7C45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5088515C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18A61EA6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37F2932F" w14:textId="1016FE99" w:rsidR="0079578C" w:rsidRPr="0079578C" w:rsidRDefault="0079578C" w:rsidP="00932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</w:t>
            </w:r>
            <w:r w:rsidR="009328F8">
              <w:rPr>
                <w:rFonts w:ascii="Times New Roman" w:hAnsi="Times New Roman"/>
                <w:sz w:val="24"/>
                <w:szCs w:val="24"/>
              </w:rPr>
              <w:t>G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7005337C" w14:textId="52FE06C0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Hakkında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ithamname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hazırlanan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celbname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z w:val="24"/>
                <w:szCs w:val="24"/>
              </w:rPr>
              <w:t>Kuruluna</w:t>
            </w:r>
            <w:proofErr w:type="spellEnd"/>
            <w:r w:rsidR="00143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3180">
              <w:rPr>
                <w:rFonts w:ascii="Times New Roman" w:hAnsi="Times New Roman"/>
                <w:sz w:val="24"/>
                <w:szCs w:val="24"/>
              </w:rPr>
              <w:t>celbedilir</w:t>
            </w:r>
            <w:proofErr w:type="spellEnd"/>
            <w:r w:rsidR="00143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43180">
              <w:rPr>
                <w:rFonts w:ascii="Times New Roman" w:hAnsi="Times New Roman"/>
                <w:sz w:val="24"/>
                <w:szCs w:val="24"/>
              </w:rPr>
              <w:t>Celbnamede</w:t>
            </w:r>
            <w:proofErr w:type="spellEnd"/>
            <w:r w:rsidR="00143180">
              <w:rPr>
                <w:rFonts w:ascii="Times New Roman" w:hAnsi="Times New Roman"/>
                <w:sz w:val="24"/>
                <w:szCs w:val="24"/>
              </w:rPr>
              <w:t>,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Savcının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hangi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suçla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itham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edildiği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Kurulu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huzurunda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hazır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bulunması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gereken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gün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saat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belirtilir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79578C" w:rsidRPr="0079578C" w14:paraId="4F8B6A3E" w14:textId="77777777" w:rsidTr="0079578C">
        <w:tc>
          <w:tcPr>
            <w:tcW w:w="1576" w:type="dxa"/>
          </w:tcPr>
          <w:p w14:paraId="7AF4113E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0046651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27A02C99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46DBA0E1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72B7C1E9" w14:textId="5FFB2ACA" w:rsidR="0079578C" w:rsidRPr="0079578C" w:rsidRDefault="0079578C" w:rsidP="00932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</w:t>
            </w:r>
            <w:r w:rsidR="009328F8">
              <w:rPr>
                <w:rFonts w:ascii="Times New Roman" w:hAnsi="Times New Roman"/>
                <w:sz w:val="24"/>
                <w:szCs w:val="24"/>
              </w:rPr>
              <w:t>H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0E96F03F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Hakkında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ithamname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düzenlenen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soruşturmaya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ilişkin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tüm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belgeleri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incelemeye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tanık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dinletmeye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kendisini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doğrudan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doğruya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avukat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vasıtasıyla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savunma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hakkına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sahiptir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10C80996" w14:textId="77777777" w:rsidTr="0079578C">
        <w:tc>
          <w:tcPr>
            <w:tcW w:w="1576" w:type="dxa"/>
          </w:tcPr>
          <w:p w14:paraId="32779FB2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32363AF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6581049F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219B415F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5C27ABC8" w14:textId="1399B664" w:rsidR="0079578C" w:rsidRPr="0079578C" w:rsidRDefault="009328F8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</w:t>
            </w:r>
            <w:r w:rsidR="0079578C"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78F6026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Aleyhinde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kovuşturma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başlatılan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disiplin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yargılaması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sonuçlandırılıncaya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kadar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izinli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sayılır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5CA4AB9A" w14:textId="77777777" w:rsidTr="0079578C">
        <w:tc>
          <w:tcPr>
            <w:tcW w:w="1576" w:type="dxa"/>
          </w:tcPr>
          <w:p w14:paraId="652467E0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0B1F8E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06A6B1C7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43FEDC6F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235B708F" w14:textId="1E0A4656" w:rsidR="0079578C" w:rsidRPr="0079578C" w:rsidRDefault="009328F8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(İ</w:t>
            </w:r>
            <w:r w:rsidR="0079578C"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05F9D67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Yargılama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süreci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seri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yargılama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kuralları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çerçevesinde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yürütülür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79578C" w:rsidRPr="0079578C" w14:paraId="2667D2C1" w14:textId="77777777" w:rsidTr="0079578C">
        <w:tc>
          <w:tcPr>
            <w:tcW w:w="1576" w:type="dxa"/>
          </w:tcPr>
          <w:p w14:paraId="34582B22" w14:textId="0268C167" w:rsidR="0079578C" w:rsidRPr="0079578C" w:rsidRDefault="0079578C" w:rsidP="0066770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0" w:type="dxa"/>
          </w:tcPr>
          <w:p w14:paraId="357B7851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5CC3816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534865A5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1B70563E" w14:textId="6336E3CF" w:rsidR="0079578C" w:rsidRPr="0079578C" w:rsidRDefault="009328F8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(J</w:t>
            </w:r>
            <w:r w:rsidR="0079578C"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4" w:type="dxa"/>
            <w:hideMark/>
          </w:tcPr>
          <w:p w14:paraId="3FA94032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(a)</w:t>
            </w:r>
          </w:p>
        </w:tc>
        <w:tc>
          <w:tcPr>
            <w:tcW w:w="3348" w:type="dxa"/>
            <w:hideMark/>
          </w:tcPr>
          <w:p w14:paraId="5B10966E" w14:textId="38A44250" w:rsidR="0079578C" w:rsidRPr="0079578C" w:rsidRDefault="0079578C" w:rsidP="00FC65D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Kurulu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huzurunda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yürütülen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578C">
              <w:rPr>
                <w:rFonts w:ascii="Times New Roman" w:hAnsi="Times New Roman"/>
                <w:spacing w:val="-9"/>
                <w:sz w:val="24"/>
                <w:szCs w:val="24"/>
              </w:rPr>
              <w:t>disiplin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kovuşturmasında</w:t>
            </w:r>
            <w:proofErr w:type="spellEnd"/>
            <w:proofErr w:type="gram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şahadet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vermesi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istenen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kimse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belirtilen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vakitte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hazır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bulunmayı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şahadet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vermeyi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veya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belge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ibraz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>etmeyi</w:t>
            </w:r>
            <w:proofErr w:type="spellEnd"/>
            <w:r w:rsidRPr="00795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reddederse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suç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işlemiş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olur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mahkumiyeti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halinde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üç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yıla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kadar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hapis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cezasına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3EB5">
              <w:rPr>
                <w:rFonts w:ascii="Times New Roman" w:hAnsi="Times New Roman"/>
                <w:sz w:val="24"/>
                <w:szCs w:val="24"/>
              </w:rPr>
              <w:t>yürürlükteki</w:t>
            </w:r>
            <w:proofErr w:type="spellEnd"/>
            <w:r w:rsidR="0050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brüt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asgari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ücretin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2 (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iki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) 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katına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>kadar</w:t>
            </w:r>
            <w:proofErr w:type="spellEnd"/>
            <w:r w:rsidR="00FC65D4" w:rsidRPr="00503E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FC65D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para </w:t>
            </w:r>
            <w:proofErr w:type="spellStart"/>
            <w:r w:rsidR="00FC65D4">
              <w:rPr>
                <w:rFonts w:ascii="Times New Roman" w:hAnsi="Times New Roman"/>
                <w:spacing w:val="-8"/>
                <w:sz w:val="24"/>
                <w:szCs w:val="24"/>
              </w:rPr>
              <w:t>cezası</w:t>
            </w:r>
            <w:r w:rsidR="00FC65D4" w:rsidRPr="00FC65D4">
              <w:rPr>
                <w:rFonts w:ascii="Times New Roman" w:hAnsi="Times New Roman"/>
                <w:spacing w:val="-8"/>
                <w:sz w:val="24"/>
                <w:szCs w:val="24"/>
              </w:rPr>
              <w:t>na</w:t>
            </w:r>
            <w:proofErr w:type="spellEnd"/>
            <w:r w:rsidR="00FC65D4" w:rsidRPr="00FC65D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çarptırılabilir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06E90BFB" w14:textId="77777777" w:rsidTr="0079578C">
        <w:tc>
          <w:tcPr>
            <w:tcW w:w="1576" w:type="dxa"/>
          </w:tcPr>
          <w:p w14:paraId="780CF2F4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23D1675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337723D7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7CA6CCC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60A56FE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hideMark/>
          </w:tcPr>
          <w:p w14:paraId="75B81561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(b)</w:t>
            </w:r>
          </w:p>
        </w:tc>
        <w:tc>
          <w:tcPr>
            <w:tcW w:w="3348" w:type="dxa"/>
            <w:hideMark/>
          </w:tcPr>
          <w:p w14:paraId="3219128A" w14:textId="7332A3BD" w:rsidR="0079578C" w:rsidRPr="0079578C" w:rsidRDefault="0079578C" w:rsidP="00B94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Şahadet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vermek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üzere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Kurulu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huzurunda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hazır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bulunan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kimse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yürütülen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kovuşturması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herhangi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konuda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esas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teşkil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eden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ortaya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atılması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tasarlanan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herhangi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husus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olarak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kasten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yalan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şahadet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verirse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yalancı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tanıklık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suçu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işlemiş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olur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mahkumiyeti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halinde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yedi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4B48">
              <w:rPr>
                <w:rFonts w:ascii="Times New Roman" w:hAnsi="Times New Roman"/>
                <w:sz w:val="24"/>
                <w:szCs w:val="24"/>
              </w:rPr>
              <w:t>yıla</w:t>
            </w:r>
            <w:proofErr w:type="spellEnd"/>
            <w:r w:rsidR="00B94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kadar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hapis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cezasına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çarptırılabilir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79578C" w:rsidRPr="0079578C" w14:paraId="67F97571" w14:textId="77777777" w:rsidTr="0079578C">
        <w:tc>
          <w:tcPr>
            <w:tcW w:w="1576" w:type="dxa"/>
          </w:tcPr>
          <w:p w14:paraId="357D597A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24DE6720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03270D3F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0C33DC7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3C9D8C0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hideMark/>
          </w:tcPr>
          <w:p w14:paraId="03112434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(c)</w:t>
            </w:r>
          </w:p>
        </w:tc>
        <w:tc>
          <w:tcPr>
            <w:tcW w:w="3348" w:type="dxa"/>
            <w:hideMark/>
          </w:tcPr>
          <w:p w14:paraId="43A69045" w14:textId="7C5BCB4E" w:rsidR="0079578C" w:rsidRPr="0079578C" w:rsidRDefault="00143180" w:rsidP="00B94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Hakkında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kovuşturması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başlatılan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Savcının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>Savcılar</w:t>
            </w:r>
            <w:proofErr w:type="spellEnd"/>
            <w:r w:rsidR="0079578C"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>Kurulu</w:t>
            </w:r>
            <w:proofErr w:type="spellEnd"/>
            <w:r w:rsidR="0079578C" w:rsidRPr="007957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7"/>
                <w:sz w:val="24"/>
                <w:szCs w:val="24"/>
              </w:rPr>
              <w:t>huzurunda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yargılanmasında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tanık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olan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kişi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94B48">
              <w:rPr>
                <w:rFonts w:ascii="Times New Roman" w:hAnsi="Times New Roman"/>
                <w:spacing w:val="-1"/>
                <w:sz w:val="24"/>
                <w:szCs w:val="24"/>
              </w:rPr>
              <w:t>disiplin</w:t>
            </w:r>
            <w:proofErr w:type="spellEnd"/>
            <w:r w:rsidR="00B94B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soruşturması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sürecinde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soruşturma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memuruna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aynı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mesele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tanık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olarak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verdiği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şahadete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uymayan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çelişki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teşkil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eden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ve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ilgili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Savcının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suçu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işlediğini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işlemediğini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kanıtlama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eğiliminde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olan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kasıtlı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ifade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verirse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yalancı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tanıklık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yapmış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4B48">
              <w:rPr>
                <w:rFonts w:ascii="Times New Roman" w:hAnsi="Times New Roman"/>
                <w:sz w:val="24"/>
                <w:szCs w:val="24"/>
              </w:rPr>
              <w:t>olur</w:t>
            </w:r>
            <w:proofErr w:type="spellEnd"/>
            <w:r w:rsidR="00B94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mahkumiyeti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halinde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yedi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yıla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kadar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hapis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cezasına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çarptırılabilir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79578C" w:rsidRPr="0079578C" w14:paraId="404C0F07" w14:textId="77777777" w:rsidTr="0079578C">
        <w:tc>
          <w:tcPr>
            <w:tcW w:w="1576" w:type="dxa"/>
          </w:tcPr>
          <w:p w14:paraId="681B60BE" w14:textId="5924DD67" w:rsidR="0079578C" w:rsidRPr="0079578C" w:rsidRDefault="0079578C" w:rsidP="0066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7D5B3A0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2FCF0D8B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35475B0C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0D7CB520" w14:textId="03441C0B" w:rsidR="0079578C" w:rsidRPr="0079578C" w:rsidRDefault="009328F8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</w:t>
            </w:r>
            <w:r w:rsidR="0079578C"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4CEDCD6D" w14:textId="02254025" w:rsidR="009328F8" w:rsidRDefault="00143180" w:rsidP="0079578C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Yüksek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Savcılar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Kurulu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aleyhinde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yeterli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şahadet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delil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bulunduğu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sonucuna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varması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halinde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hakkında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kovuşturması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başlatılan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>,</w:t>
            </w:r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C65D4">
              <w:rPr>
                <w:rFonts w:ascii="Times New Roman" w:hAnsi="Times New Roman"/>
                <w:sz w:val="24"/>
                <w:szCs w:val="24"/>
              </w:rPr>
              <w:t>Savcılık</w:t>
            </w:r>
            <w:proofErr w:type="spellEnd"/>
            <w:r w:rsidR="00FC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vakar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onuru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haysiyet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itibar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kırıcı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görev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icaplarına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uymayan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davranışlarından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dolayı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eylemlerinin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ağırlığına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göre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uyarma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C65D4">
              <w:rPr>
                <w:rFonts w:ascii="Times New Roman" w:hAnsi="Times New Roman"/>
                <w:sz w:val="24"/>
                <w:szCs w:val="24"/>
              </w:rPr>
              <w:t>veya</w:t>
            </w:r>
            <w:proofErr w:type="spellEnd"/>
            <w:r w:rsidR="00FC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65D4">
              <w:rPr>
                <w:rFonts w:ascii="Times New Roman" w:hAnsi="Times New Roman"/>
                <w:sz w:val="24"/>
                <w:szCs w:val="24"/>
              </w:rPr>
              <w:t>görevden</w:t>
            </w:r>
            <w:proofErr w:type="spellEnd"/>
            <w:r w:rsidR="00FC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çekilmeye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davet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işlemlerinden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birini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uygulayabilir</w:t>
            </w:r>
            <w:proofErr w:type="spellEnd"/>
            <w:r w:rsidR="0079578C"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14:paraId="043D5755" w14:textId="264F6559" w:rsidR="0079578C" w:rsidRPr="0079578C" w:rsidRDefault="00652217" w:rsidP="005C6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</w:t>
            </w:r>
            <w:r w:rsidR="009328F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Ancak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Savcılar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Kurulu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uygun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adil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gördüğü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hallerde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herhangi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ceza</w:t>
            </w:r>
            <w:proofErr w:type="spellEnd"/>
            <w:proofErr w:type="gram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8C" w:rsidRPr="0079578C">
              <w:rPr>
                <w:rFonts w:ascii="Times New Roman" w:hAnsi="Times New Roman"/>
                <w:sz w:val="24"/>
                <w:szCs w:val="24"/>
              </w:rPr>
              <w:t>vermeyebilir</w:t>
            </w:r>
            <w:proofErr w:type="spellEnd"/>
            <w:r w:rsidR="0079578C"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362E4A1B" w14:textId="77777777" w:rsidTr="0079578C">
        <w:tc>
          <w:tcPr>
            <w:tcW w:w="1576" w:type="dxa"/>
          </w:tcPr>
          <w:p w14:paraId="40E94D65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514AEAF7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4224E650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1CA46A1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6A861AAA" w14:textId="6B629CD7" w:rsidR="0079578C" w:rsidRPr="0079578C" w:rsidRDefault="009328F8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</w:t>
            </w:r>
            <w:r w:rsidR="0079578C"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35B9DBB4" w14:textId="49413D35" w:rsidR="0079578C" w:rsidRPr="005C6676" w:rsidRDefault="0079578C" w:rsidP="005C6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yargılaması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sonrası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YüksekSavcılar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Kurulunca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verilecek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kararlar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,</w:t>
            </w:r>
            <w:r w:rsidR="005C6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gerekçeye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dayanır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gerekçeli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kararın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sureti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ilgili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Savcıya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tebliğ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edilir</w:t>
            </w:r>
            <w:proofErr w:type="spellEnd"/>
            <w:r w:rsidRPr="0079578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79578C" w:rsidRPr="0079578C" w14:paraId="42D6F002" w14:textId="77777777" w:rsidTr="0079578C">
        <w:tc>
          <w:tcPr>
            <w:tcW w:w="1576" w:type="dxa"/>
          </w:tcPr>
          <w:p w14:paraId="28DDACC0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5B390B67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36775D76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1C49590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44EA11C0" w14:textId="2DB732C4" w:rsidR="0079578C" w:rsidRPr="0079578C" w:rsidRDefault="0079578C" w:rsidP="00932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</w:t>
            </w:r>
            <w:r w:rsidR="009328F8">
              <w:rPr>
                <w:rFonts w:ascii="Times New Roman" w:hAnsi="Times New Roman"/>
                <w:sz w:val="24"/>
                <w:szCs w:val="24"/>
              </w:rPr>
              <w:t>M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62B7DE45" w14:textId="73449DB5" w:rsidR="0079578C" w:rsidRPr="0079578C" w:rsidRDefault="0079578C" w:rsidP="005C6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Yüksek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Savcılar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Kurulunun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görevden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çekilmeye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davet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kararının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>tebliğinden</w:t>
            </w:r>
            <w:proofErr w:type="spellEnd"/>
            <w:r w:rsidRPr="00795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itibaren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mezun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sayılır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ay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içinde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görevden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çekilmediği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="00FC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emekliliğini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istemediği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takdirde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görevden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çekilmiş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sayılır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7764AFAC" w14:textId="77777777" w:rsidTr="0079578C">
        <w:tc>
          <w:tcPr>
            <w:tcW w:w="1576" w:type="dxa"/>
          </w:tcPr>
          <w:p w14:paraId="4AC248A1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1A69226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4E59A20F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5FAAEEB7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hideMark/>
          </w:tcPr>
          <w:p w14:paraId="3B94D772" w14:textId="2C823DE0" w:rsidR="0079578C" w:rsidRPr="0079578C" w:rsidRDefault="0079578C" w:rsidP="00932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</w:t>
            </w:r>
            <w:r w:rsidR="009328F8">
              <w:rPr>
                <w:rFonts w:ascii="Times New Roman" w:hAnsi="Times New Roman"/>
                <w:sz w:val="24"/>
                <w:szCs w:val="24"/>
              </w:rPr>
              <w:t>N</w:t>
            </w:r>
            <w:r w:rsidRPr="007957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2"/>
            <w:hideMark/>
          </w:tcPr>
          <w:p w14:paraId="5819F8A5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Soruşturma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süreci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gizli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kovuşturma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ise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açık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yürütülür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0C210835" w14:textId="77777777" w:rsidTr="0079578C">
        <w:tc>
          <w:tcPr>
            <w:tcW w:w="1576" w:type="dxa"/>
          </w:tcPr>
          <w:p w14:paraId="6CB4629A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5F37975E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72B6E0DD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6CDD77D1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hideMark/>
          </w:tcPr>
          <w:p w14:paraId="074A7EBF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752" w:type="dxa"/>
            <w:gridSpan w:val="3"/>
          </w:tcPr>
          <w:p w14:paraId="55612DA5" w14:textId="0B96B911" w:rsidR="0079578C" w:rsidRPr="0079578C" w:rsidRDefault="0079578C" w:rsidP="001C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 xml:space="preserve">Bu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madde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amaçları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bakımından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79E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="001C679E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Başsavcı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Başsavcı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Yardımcısı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Başsavcı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Yardımcı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Muavini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Kıdemli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Savcıları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anlatır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>.”</w:t>
            </w:r>
          </w:p>
        </w:tc>
      </w:tr>
      <w:tr w:rsidR="006C1292" w:rsidRPr="0079578C" w14:paraId="22F03998" w14:textId="77777777" w:rsidTr="0079578C">
        <w:tc>
          <w:tcPr>
            <w:tcW w:w="1576" w:type="dxa"/>
          </w:tcPr>
          <w:p w14:paraId="3E565A10" w14:textId="77777777" w:rsidR="006C1292" w:rsidRPr="0079578C" w:rsidRDefault="006C1292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11C9EA76" w14:textId="77777777" w:rsidR="006C1292" w:rsidRPr="0079578C" w:rsidRDefault="006C1292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0A3471C2" w14:textId="77777777" w:rsidR="006C1292" w:rsidRPr="0079578C" w:rsidRDefault="006C1292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8FCDE7E" w14:textId="77777777" w:rsidR="006C1292" w:rsidRPr="0079578C" w:rsidRDefault="006C1292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37F05866" w14:textId="77777777" w:rsidR="006C1292" w:rsidRPr="0079578C" w:rsidRDefault="006C1292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</w:tcPr>
          <w:p w14:paraId="1A7C059E" w14:textId="77777777" w:rsidR="006C1292" w:rsidRPr="0079578C" w:rsidRDefault="006C1292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92" w:rsidRPr="0079578C" w14:paraId="7D6DFF07" w14:textId="77777777" w:rsidTr="007A098B">
        <w:tc>
          <w:tcPr>
            <w:tcW w:w="1576" w:type="dxa"/>
            <w:hideMark/>
          </w:tcPr>
          <w:p w14:paraId="6A4496FE" w14:textId="77777777" w:rsidR="006C1292" w:rsidRPr="0079578C" w:rsidRDefault="006C1292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Yürürlüğe</w:t>
            </w:r>
            <w:proofErr w:type="spellEnd"/>
            <w:r w:rsidRPr="0079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hAnsi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7623" w:type="dxa"/>
            <w:gridSpan w:val="9"/>
            <w:hideMark/>
          </w:tcPr>
          <w:p w14:paraId="0BC0C5B9" w14:textId="09E0B164" w:rsidR="006C1292" w:rsidRPr="0079578C" w:rsidRDefault="006C1292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78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Bu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Yasa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Resmi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Gazete’de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yayımlandığı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tarihten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başlayarak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yürürlüğe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girer</w:t>
            </w:r>
            <w:proofErr w:type="spellEnd"/>
            <w:r w:rsidRPr="007957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9578C" w:rsidRPr="0079578C" w14:paraId="22A23B36" w14:textId="77777777" w:rsidTr="0079578C">
        <w:tc>
          <w:tcPr>
            <w:tcW w:w="1576" w:type="dxa"/>
          </w:tcPr>
          <w:p w14:paraId="7FDDB1EA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76FF604E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14:paraId="3E1E8BBE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14:paraId="34E3D82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</w:tcPr>
          <w:p w14:paraId="23E85218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C" w:rsidRPr="0079578C" w14:paraId="773623CD" w14:textId="77777777" w:rsidTr="0079578C">
        <w:tc>
          <w:tcPr>
            <w:tcW w:w="1576" w:type="dxa"/>
          </w:tcPr>
          <w:p w14:paraId="44C64DF3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06A93A20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gridSpan w:val="8"/>
          </w:tcPr>
          <w:p w14:paraId="25277EBF" w14:textId="77777777" w:rsidR="0079578C" w:rsidRPr="0079578C" w:rsidRDefault="0079578C" w:rsidP="0079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085513" w14:textId="77777777" w:rsidR="0079578C" w:rsidRPr="0079578C" w:rsidRDefault="0079578C" w:rsidP="0079578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6C38F" w14:textId="77777777" w:rsidR="00E51AD2" w:rsidRDefault="00E51AD2"/>
    <w:sectPr w:rsidR="00E51AD2" w:rsidSect="00B94B4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840"/>
    <w:multiLevelType w:val="hybridMultilevel"/>
    <w:tmpl w:val="2B34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69AF"/>
    <w:multiLevelType w:val="hybridMultilevel"/>
    <w:tmpl w:val="A9640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1129B"/>
    <w:multiLevelType w:val="hybridMultilevel"/>
    <w:tmpl w:val="D892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07126"/>
    <w:multiLevelType w:val="hybridMultilevel"/>
    <w:tmpl w:val="24C8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0F"/>
    <w:rsid w:val="00096D15"/>
    <w:rsid w:val="00143180"/>
    <w:rsid w:val="001C679E"/>
    <w:rsid w:val="001E4E90"/>
    <w:rsid w:val="00292134"/>
    <w:rsid w:val="00382700"/>
    <w:rsid w:val="00397060"/>
    <w:rsid w:val="003C6CEA"/>
    <w:rsid w:val="00503EB5"/>
    <w:rsid w:val="00535D44"/>
    <w:rsid w:val="005962F5"/>
    <w:rsid w:val="005C6676"/>
    <w:rsid w:val="00652217"/>
    <w:rsid w:val="0066770B"/>
    <w:rsid w:val="006C1292"/>
    <w:rsid w:val="006F5ABA"/>
    <w:rsid w:val="0079578C"/>
    <w:rsid w:val="007C50DF"/>
    <w:rsid w:val="0084640A"/>
    <w:rsid w:val="00893CB1"/>
    <w:rsid w:val="009328F8"/>
    <w:rsid w:val="00977F8D"/>
    <w:rsid w:val="009976EF"/>
    <w:rsid w:val="00AA200F"/>
    <w:rsid w:val="00B94B48"/>
    <w:rsid w:val="00BA5751"/>
    <w:rsid w:val="00DC515E"/>
    <w:rsid w:val="00E51AD2"/>
    <w:rsid w:val="00E83335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E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957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957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Nezhan Kayasal</dc:creator>
  <cp:lastModifiedBy>Çilem Kanat</cp:lastModifiedBy>
  <cp:revision>2</cp:revision>
  <cp:lastPrinted>2024-01-19T13:26:00Z</cp:lastPrinted>
  <dcterms:created xsi:type="dcterms:W3CDTF">2024-01-30T08:49:00Z</dcterms:created>
  <dcterms:modified xsi:type="dcterms:W3CDTF">2024-01-30T08:49:00Z</dcterms:modified>
</cp:coreProperties>
</file>