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7"/>
        <w:gridCol w:w="369"/>
        <w:gridCol w:w="350"/>
        <w:gridCol w:w="709"/>
        <w:gridCol w:w="6203"/>
      </w:tblGrid>
      <w:tr w:rsidR="00AE2727" w:rsidRPr="00AE2727" w:rsidTr="00EA1964"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200B9" w:rsidRPr="00A200B9" w:rsidRDefault="00A200B9" w:rsidP="00A200B9">
            <w:pPr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A200B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Kuzey Kıbrıs Türk </w:t>
            </w:r>
            <w:proofErr w:type="spellStart"/>
            <w:r w:rsidRPr="00A200B9">
              <w:rPr>
                <w:rFonts w:ascii="Times New Roman" w:hAnsi="Times New Roman"/>
                <w:sz w:val="24"/>
                <w:szCs w:val="24"/>
                <w:lang w:eastAsia="tr-TR"/>
              </w:rPr>
              <w:t>Cumhuriyeti</w:t>
            </w:r>
            <w:proofErr w:type="spellEnd"/>
            <w:r w:rsidRPr="00A200B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00B9">
              <w:rPr>
                <w:rFonts w:ascii="Times New Roman" w:hAnsi="Times New Roman"/>
                <w:sz w:val="24"/>
                <w:szCs w:val="24"/>
                <w:lang w:eastAsia="tr-TR"/>
              </w:rPr>
              <w:t>Cumhuriyet</w:t>
            </w:r>
            <w:proofErr w:type="spellEnd"/>
            <w:r w:rsidRPr="00A200B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00B9">
              <w:rPr>
                <w:rFonts w:ascii="Times New Roman" w:hAnsi="Times New Roman"/>
                <w:sz w:val="24"/>
                <w:szCs w:val="24"/>
                <w:lang w:eastAsia="tr-TR"/>
              </w:rPr>
              <w:t>Meclisi’nin</w:t>
            </w:r>
            <w:proofErr w:type="spellEnd"/>
            <w:r w:rsidRPr="00A200B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Aralık</w:t>
            </w:r>
            <w:proofErr w:type="spellEnd"/>
            <w:r w:rsidRPr="00A200B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2021 </w:t>
            </w:r>
            <w:proofErr w:type="spellStart"/>
            <w:r w:rsidRPr="00A200B9">
              <w:rPr>
                <w:rFonts w:ascii="Times New Roman" w:hAnsi="Times New Roman"/>
                <w:sz w:val="24"/>
                <w:szCs w:val="24"/>
                <w:lang w:eastAsia="tr-TR"/>
              </w:rPr>
              <w:t>tarihli</w:t>
            </w:r>
            <w:proofErr w:type="spellEnd"/>
            <w:r w:rsidRPr="00A200B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Yirmiikinci</w:t>
            </w:r>
            <w:r w:rsidRPr="00A200B9">
              <w:rPr>
                <w:rFonts w:ascii="Times New Roman" w:hAnsi="Times New Roman"/>
                <w:sz w:val="24"/>
                <w:szCs w:val="24"/>
                <w:lang w:eastAsia="tr-TR"/>
              </w:rPr>
              <w:t>i</w:t>
            </w:r>
            <w:proofErr w:type="spellEnd"/>
            <w:r w:rsidRPr="00A200B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00B9">
              <w:rPr>
                <w:rFonts w:ascii="Times New Roman" w:hAnsi="Times New Roman"/>
                <w:sz w:val="24"/>
                <w:szCs w:val="24"/>
                <w:lang w:eastAsia="tr-TR"/>
              </w:rPr>
              <w:t>Birleşiminde</w:t>
            </w:r>
            <w:proofErr w:type="spellEnd"/>
            <w:r w:rsidRPr="00A200B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00B9">
              <w:rPr>
                <w:rFonts w:ascii="Times New Roman" w:hAnsi="Times New Roman"/>
                <w:sz w:val="24"/>
                <w:szCs w:val="24"/>
                <w:lang w:eastAsia="tr-TR"/>
              </w:rPr>
              <w:t>Oy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çokluğuyla</w:t>
            </w:r>
            <w:proofErr w:type="spellEnd"/>
            <w:r w:rsidRPr="00A200B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00B9">
              <w:rPr>
                <w:rFonts w:ascii="Times New Roman" w:hAnsi="Times New Roman"/>
                <w:sz w:val="24"/>
                <w:szCs w:val="24"/>
                <w:lang w:eastAsia="tr-TR"/>
              </w:rPr>
              <w:t>kabul</w:t>
            </w:r>
            <w:proofErr w:type="spellEnd"/>
            <w:r w:rsidRPr="00A200B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200B9">
              <w:rPr>
                <w:rFonts w:ascii="Times New Roman" w:hAnsi="Times New Roman"/>
                <w:sz w:val="24"/>
                <w:szCs w:val="24"/>
                <w:lang w:eastAsia="tr-TR"/>
              </w:rPr>
              <w:t>olunan</w:t>
            </w:r>
            <w:proofErr w:type="spellEnd"/>
            <w:r w:rsidRPr="00A200B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“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Seçim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Halkoylaması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A200B9">
              <w:rPr>
                <w:rFonts w:ascii="Times New Roman" w:hAnsi="Times New Roman"/>
                <w:sz w:val="24"/>
                <w:szCs w:val="24"/>
                <w:lang w:eastAsia="tr-TR"/>
              </w:rPr>
              <w:t>(Değişiklik) Yasası</w:t>
            </w:r>
            <w:r w:rsidRPr="00A200B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”</w:t>
            </w:r>
            <w:r w:rsidRPr="00A200B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Anayasanın 94'üncü maddesinin (1)'inci fıkrası gereğince Kuzey Kıbrıs Türk Cumhuriyeti Cumhurbaşkanı tarafından Resmi Gazete'de yayımlanmak suretiyle ilan olunur.</w:t>
            </w:r>
            <w:r w:rsidRPr="00A200B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ab/>
            </w:r>
          </w:p>
          <w:p w:rsidR="00AE2727" w:rsidRDefault="00AE2727" w:rsidP="00A200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00B9" w:rsidRDefault="00A200B9" w:rsidP="00A200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Sayı:27/2021</w:t>
            </w:r>
          </w:p>
          <w:p w:rsidR="00A200B9" w:rsidRPr="00AE2727" w:rsidRDefault="00A200B9" w:rsidP="00A200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2727" w:rsidRPr="00AE2727" w:rsidTr="00EA1964"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0B9" w:rsidRPr="00AE2727" w:rsidRDefault="00A200B9" w:rsidP="00A200B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SEÇİM VE HALKOYLAMASI (DEĞİŞİKLİK)</w:t>
            </w:r>
          </w:p>
          <w:p w:rsidR="00A200B9" w:rsidRPr="00AE2727" w:rsidRDefault="00A200B9" w:rsidP="00A20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YASA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</w:t>
            </w:r>
          </w:p>
          <w:p w:rsidR="00AE2727" w:rsidRPr="00AE2727" w:rsidRDefault="00AE2727" w:rsidP="00AE27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2727" w:rsidRPr="00AE2727" w:rsidTr="00EA1964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>Kuzey</w:t>
            </w:r>
            <w:proofErr w:type="spellEnd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>Kıbrıs</w:t>
            </w:r>
            <w:proofErr w:type="spellEnd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>Türk</w:t>
            </w:r>
            <w:proofErr w:type="spellEnd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>Cumhuriyeti</w:t>
            </w:r>
            <w:proofErr w:type="spellEnd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>Cumhuriyet</w:t>
            </w:r>
            <w:proofErr w:type="spellEnd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>Meclisi</w:t>
            </w:r>
            <w:proofErr w:type="spellEnd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>aşağıdaki</w:t>
            </w:r>
            <w:proofErr w:type="spellEnd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>Yasayı</w:t>
            </w:r>
            <w:proofErr w:type="spellEnd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>yapar</w:t>
            </w:r>
            <w:proofErr w:type="spellEnd"/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AE2727" w:rsidRPr="00AE2727" w:rsidTr="00EA1964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2727" w:rsidRPr="00AE2727" w:rsidTr="00EA1964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Kısa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İsim</w:t>
            </w:r>
            <w:proofErr w:type="spellEnd"/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5/1976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29/1977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1/1980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4/1980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12/1981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17/1985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19/1985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15/1986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16/1986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60/1988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17/1990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33/1990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52/1991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78/1991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46/1993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58/1993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59/1993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2/1994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12/1994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12/1998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48/1998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13/2000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14/2002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24/2010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33/2016</w:t>
            </w:r>
          </w:p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59/2017</w:t>
            </w:r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Yasa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Seçim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Halkoylaması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Değişiklik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Yasası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olarak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isimlendirilir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aşağıda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Esas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Yasa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olarak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anılan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Seçim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Halkoylaması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Yasası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ile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birlikte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okunur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E2727" w:rsidRPr="00AE2727" w:rsidTr="00EA1964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2727" w:rsidRPr="00AE2727" w:rsidTr="00EA1964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Esas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Yasanın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</w:rPr>
              <w:t xml:space="preserve"> 79’uncu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Maddesinin</w:t>
            </w:r>
            <w:proofErr w:type="spellEnd"/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Esas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Yasa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79’uncu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maddesinin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(5)’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inci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fıkrasının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(A)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bendi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kaldırılmak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yerine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aşağıdaki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yeni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(A)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bendi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konmak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suretiyle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değiştirilir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AE2727" w:rsidRPr="00AE2727" w:rsidRDefault="00AE2727" w:rsidP="00AE27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2727" w:rsidRPr="00AE2727" w:rsidTr="00EA1964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Değiştirilmesi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E2727" w:rsidRPr="00AE2727" w:rsidRDefault="00AE2727" w:rsidP="00AE27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727">
              <w:rPr>
                <w:rFonts w:ascii="Times New Roman" w:hAnsi="Times New Roman"/>
                <w:color w:val="000000"/>
                <w:sz w:val="24"/>
                <w:szCs w:val="24"/>
              </w:rPr>
              <w:t>“(A)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Devlet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hizmetinde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Cumhurbaşkanlığı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Başbakanlık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Bakanlıklarda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bunlara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bağlı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daire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kurum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kuruluşlarda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kamu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tüzel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kişilerinde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katma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bütçeli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veya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döner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sermayeli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kurum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kuruluşlarda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kamu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iktisadi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teşebbüslerinde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veya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kamu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iştiraki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ile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kurulan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teşebbüs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müessese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işletmelerde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Belediyelerde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memur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zorunlu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hizmet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personeli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işçi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sözleşmeli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dahil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olmak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üzere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her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ne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altında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olursa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olsun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atama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her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türlü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terfi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barem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ayarlaması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kaza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sınırları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içerisinde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görev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yeri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değiştirme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hariç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nakil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işlemlerinin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bu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işlemlere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ilişkin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her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türlü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sınavın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yapılması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durdurulur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2727" w:rsidRPr="00AE2727" w:rsidRDefault="00AE2727" w:rsidP="00AE272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E2727" w:rsidRPr="00AE2727" w:rsidRDefault="00AE2727" w:rsidP="00AE272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Ancak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işletmenin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çalışma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şekli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mevsimlik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işçi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çalıştırmayı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gerektiriyorsa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hizmetlerinin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devamı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açısından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08C1">
              <w:rPr>
                <w:rFonts w:ascii="Times New Roman" w:hAnsi="Times New Roman"/>
                <w:sz w:val="24"/>
                <w:szCs w:val="24"/>
                <w:lang w:val="en-US"/>
              </w:rPr>
              <w:t>mevsimlik</w:t>
            </w:r>
            <w:proofErr w:type="spellEnd"/>
            <w:r w:rsidR="00D408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08C1">
              <w:rPr>
                <w:rFonts w:ascii="Times New Roman" w:hAnsi="Times New Roman"/>
                <w:sz w:val="24"/>
                <w:szCs w:val="24"/>
                <w:lang w:val="en-US"/>
              </w:rPr>
              <w:t>olarak</w:t>
            </w:r>
            <w:proofErr w:type="spellEnd"/>
            <w:r w:rsidR="00D408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08C1">
              <w:rPr>
                <w:rFonts w:ascii="Times New Roman" w:hAnsi="Times New Roman"/>
                <w:sz w:val="24"/>
                <w:szCs w:val="24"/>
                <w:lang w:val="en-US"/>
              </w:rPr>
              <w:t>alınan</w:t>
            </w:r>
            <w:proofErr w:type="spellEnd"/>
            <w:r w:rsidR="00D408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08C1">
              <w:rPr>
                <w:rFonts w:ascii="Times New Roman" w:hAnsi="Times New Roman"/>
                <w:sz w:val="24"/>
                <w:szCs w:val="24"/>
                <w:lang w:val="en-US"/>
              </w:rPr>
              <w:t>işçiler</w:t>
            </w:r>
            <w:proofErr w:type="spellEnd"/>
            <w:r w:rsidR="00D408C1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eğitim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alanında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kadro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boşalması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seçim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tarihinin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başladığı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güne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kadar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doldurulmasının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veya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istihdamının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mümkün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olmaması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halinde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geçici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sözleşmeli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olarak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istihdam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edilen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öğretmenler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asistan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hekimlerle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imzalanacak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sözleşmeler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sağlık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alanında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kadro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boşalması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kamu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yararı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bakımından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gereklilik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aciliyet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olması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halinde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istihdam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edilen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kamu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sağlık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çalışanları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ile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savunma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hizmetleri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maksadıyla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öğrenci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seçme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yerleştirme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nasıp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işlemleri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bu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madde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kurallarındaki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yasaklara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bağlı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değildirler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Belediyelerde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istihdam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edilen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sözleşmeli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personelin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sözleşmelerinin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belediye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seçimlerinden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dolayı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yürürlükte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olan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seçim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yasakları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süresi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içinde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bitmesi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halinde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sözleşmelerinin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uzatılıp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uzatılmayacağına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Yüksek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Seçim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Kurulu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karar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verir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E2727" w:rsidRPr="00AE2727" w:rsidRDefault="00AE2727" w:rsidP="00AE27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Bu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madde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amaçları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bakımından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mevsimlik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işçi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seçim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yasaklarının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uygulandığı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dönem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itibarı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ile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işletme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tarafından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hizmetlerin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aksamaması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için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alınan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istihdam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edilen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kişiyi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anlatır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  <w:lang w:val="en-US"/>
              </w:rPr>
              <w:t>.”</w:t>
            </w:r>
          </w:p>
        </w:tc>
      </w:tr>
      <w:tr w:rsidR="00AE2727" w:rsidRPr="00AE2727" w:rsidTr="00EA1964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2727" w:rsidRPr="00AE2727" w:rsidTr="00EA1964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727" w:rsidRPr="00AE2727" w:rsidRDefault="00AE2727" w:rsidP="00AE27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Yürürlüğe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E2727" w:rsidRPr="00AE2727" w:rsidRDefault="00AE2727" w:rsidP="00AE27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727">
              <w:rPr>
                <w:rFonts w:ascii="Times New Roman" w:hAnsi="Times New Roman"/>
                <w:sz w:val="24"/>
                <w:szCs w:val="24"/>
              </w:rPr>
              <w:t xml:space="preserve">3. Bu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Yasa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Resmi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Gazete’de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yayımlandığı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tarihten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başlayarak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yürürlüğe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27">
              <w:rPr>
                <w:rFonts w:ascii="Times New Roman" w:hAnsi="Times New Roman"/>
                <w:sz w:val="24"/>
                <w:szCs w:val="24"/>
              </w:rPr>
              <w:t>girer</w:t>
            </w:r>
            <w:proofErr w:type="spellEnd"/>
            <w:r w:rsidRPr="00AE2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E2727" w:rsidRPr="00AE2727" w:rsidRDefault="00AE2727" w:rsidP="00AE27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2727" w:rsidRPr="00AE2727" w:rsidRDefault="00AE2727" w:rsidP="00AE2727">
      <w:pPr>
        <w:rPr>
          <w:rFonts w:ascii="Times New Roman" w:hAnsi="Times New Roman" w:cs="Times New Roman"/>
          <w:sz w:val="24"/>
          <w:szCs w:val="24"/>
        </w:rPr>
      </w:pPr>
    </w:p>
    <w:p w:rsidR="00517EFA" w:rsidRPr="00AE2727" w:rsidRDefault="00517EFA">
      <w:pPr>
        <w:rPr>
          <w:rFonts w:ascii="Times New Roman" w:hAnsi="Times New Roman" w:cs="Times New Roman"/>
          <w:sz w:val="24"/>
          <w:szCs w:val="24"/>
        </w:rPr>
      </w:pPr>
    </w:p>
    <w:sectPr w:rsidR="00517EFA" w:rsidRPr="00AE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93"/>
    <w:rsid w:val="00517EFA"/>
    <w:rsid w:val="005A4C93"/>
    <w:rsid w:val="00636ABE"/>
    <w:rsid w:val="00684A85"/>
    <w:rsid w:val="00A200B9"/>
    <w:rsid w:val="00AE2727"/>
    <w:rsid w:val="00D4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72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72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Beyaz</dc:creator>
  <cp:lastModifiedBy>Nedret Beyaz</cp:lastModifiedBy>
  <cp:revision>3</cp:revision>
  <cp:lastPrinted>2021-12-10T07:58:00Z</cp:lastPrinted>
  <dcterms:created xsi:type="dcterms:W3CDTF">2021-12-21T13:05:00Z</dcterms:created>
  <dcterms:modified xsi:type="dcterms:W3CDTF">2021-12-21T13:07:00Z</dcterms:modified>
</cp:coreProperties>
</file>