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57" w:rsidRDefault="00810457" w:rsidP="00810457">
      <w:pPr>
        <w:spacing w:before="211" w:line="259" w:lineRule="exact"/>
        <w:jc w:val="center"/>
      </w:pPr>
    </w:p>
    <w:p w:rsidR="00810457" w:rsidRPr="00810457" w:rsidRDefault="00810457" w:rsidP="00810457">
      <w:pPr>
        <w:widowControl w:val="0"/>
        <w:jc w:val="both"/>
        <w:rPr>
          <w:rFonts w:eastAsia="Calibri" w:cs="Arial Unicode MS"/>
          <w:lang w:eastAsia="en-US" w:bidi="tr-TR"/>
        </w:rPr>
      </w:pPr>
      <w:r w:rsidRPr="00810457">
        <w:rPr>
          <w:rFonts w:eastAsia="Calibri" w:cs="Arial Unicode MS"/>
          <w:b/>
          <w:bCs/>
          <w:lang w:eastAsia="en-US" w:bidi="tr-TR"/>
        </w:rPr>
        <w:t xml:space="preserve">Kuzey Kıbrıs Türk Cumhuriyeti Cumhuriyet Meclisi’nin </w:t>
      </w:r>
      <w:r>
        <w:rPr>
          <w:rFonts w:eastAsia="Calibri" w:cs="Arial Unicode MS"/>
          <w:b/>
          <w:bCs/>
          <w:lang w:eastAsia="en-US" w:bidi="tr-TR"/>
        </w:rPr>
        <w:t>6 Temmuz</w:t>
      </w:r>
      <w:r w:rsidRPr="00810457">
        <w:rPr>
          <w:rFonts w:eastAsia="Calibri" w:cs="Arial Unicode MS"/>
          <w:b/>
          <w:bCs/>
          <w:lang w:eastAsia="en-US" w:bidi="tr-TR"/>
        </w:rPr>
        <w:t xml:space="preserve"> 2020 tarihli </w:t>
      </w:r>
      <w:r>
        <w:rPr>
          <w:rFonts w:eastAsia="Calibri" w:cs="Arial Unicode MS"/>
          <w:b/>
          <w:bCs/>
          <w:lang w:eastAsia="en-US" w:bidi="tr-TR"/>
        </w:rPr>
        <w:t>İkinci Olağanüstü</w:t>
      </w:r>
      <w:r w:rsidRPr="00810457">
        <w:rPr>
          <w:rFonts w:eastAsia="Calibri" w:cs="Arial Unicode MS"/>
          <w:b/>
          <w:bCs/>
          <w:lang w:eastAsia="en-US" w:bidi="tr-TR"/>
        </w:rPr>
        <w:t xml:space="preserve"> Birleşiminde Oy</w:t>
      </w:r>
      <w:r>
        <w:rPr>
          <w:rFonts w:eastAsia="Calibri" w:cs="Arial Unicode MS"/>
          <w:b/>
          <w:bCs/>
          <w:lang w:eastAsia="en-US" w:bidi="tr-TR"/>
        </w:rPr>
        <w:t>bi</w:t>
      </w:r>
      <w:r w:rsidR="002326B2">
        <w:rPr>
          <w:rFonts w:eastAsia="Calibri" w:cs="Arial Unicode MS"/>
          <w:b/>
          <w:bCs/>
          <w:lang w:eastAsia="en-US" w:bidi="tr-TR"/>
        </w:rPr>
        <w:t>rliğiyle</w:t>
      </w:r>
      <w:bookmarkStart w:id="0" w:name="_GoBack"/>
      <w:bookmarkEnd w:id="0"/>
      <w:r w:rsidRPr="00810457">
        <w:rPr>
          <w:rFonts w:eastAsia="Calibri" w:cs="Arial Unicode MS"/>
          <w:b/>
          <w:bCs/>
          <w:lang w:eastAsia="en-US" w:bidi="tr-TR"/>
        </w:rPr>
        <w:t xml:space="preserve"> kabul olunan “</w:t>
      </w:r>
      <w:r>
        <w:rPr>
          <w:b/>
          <w:color w:val="000000"/>
          <w:lang w:bidi="tr-TR"/>
        </w:rPr>
        <w:t>Çevre (Değişiklik)</w:t>
      </w:r>
      <w:r w:rsidRPr="00810457">
        <w:rPr>
          <w:b/>
          <w:color w:val="000000"/>
          <w:lang w:bidi="tr-TR"/>
        </w:rPr>
        <w:t xml:space="preserve"> </w:t>
      </w:r>
      <w:r w:rsidRPr="00810457">
        <w:rPr>
          <w:rFonts w:eastAsia="Calibri" w:cs="Arial Unicode MS"/>
          <w:b/>
          <w:bCs/>
          <w:lang w:eastAsia="en-US" w:bidi="tr-TR"/>
        </w:rPr>
        <w:t>Yasası” Anayasanın 94’üncü maddesinin (1)’inci fıkrası gereğince Kuzey Kıbrıs Türk Cumhuriyeti Cumhurbaşkanı tarafından Resmi Gazete’de yayımlanmak suretiyle ilan olunur.</w:t>
      </w:r>
    </w:p>
    <w:p w:rsidR="00810457" w:rsidRPr="00810457" w:rsidRDefault="00810457" w:rsidP="00810457">
      <w:pPr>
        <w:widowControl w:val="0"/>
        <w:jc w:val="center"/>
        <w:rPr>
          <w:rFonts w:eastAsia="Calibri" w:cs="Arial Unicode MS"/>
          <w:lang w:eastAsia="en-US" w:bidi="tr-TR"/>
        </w:rPr>
      </w:pPr>
    </w:p>
    <w:p w:rsidR="00810457" w:rsidRPr="00810457" w:rsidRDefault="00810457" w:rsidP="00810457">
      <w:pPr>
        <w:widowControl w:val="0"/>
        <w:jc w:val="center"/>
        <w:rPr>
          <w:rFonts w:eastAsia="Calibri" w:cs="Arial Unicode MS"/>
          <w:lang w:eastAsia="en-US" w:bidi="tr-TR"/>
        </w:rPr>
      </w:pPr>
    </w:p>
    <w:p w:rsidR="00810457" w:rsidRPr="00810457" w:rsidRDefault="00810457" w:rsidP="00810457">
      <w:pPr>
        <w:widowControl w:val="0"/>
        <w:jc w:val="center"/>
        <w:rPr>
          <w:rFonts w:eastAsia="Calibri" w:cs="Arial Unicode MS"/>
          <w:b/>
          <w:lang w:eastAsia="en-US" w:bidi="tr-TR"/>
        </w:rPr>
      </w:pPr>
      <w:r w:rsidRPr="00810457">
        <w:rPr>
          <w:rFonts w:eastAsia="Calibri" w:cs="Arial Unicode MS"/>
          <w:b/>
          <w:lang w:eastAsia="en-US" w:bidi="tr-TR"/>
        </w:rPr>
        <w:t xml:space="preserve">Sayı: </w:t>
      </w:r>
      <w:r>
        <w:rPr>
          <w:rFonts w:eastAsia="Calibri" w:cs="Arial Unicode MS"/>
          <w:b/>
          <w:lang w:eastAsia="en-US" w:bidi="tr-TR"/>
        </w:rPr>
        <w:t>34</w:t>
      </w:r>
      <w:r w:rsidRPr="00810457">
        <w:rPr>
          <w:rFonts w:eastAsia="Calibri" w:cs="Arial Unicode MS"/>
          <w:b/>
          <w:lang w:eastAsia="en-US" w:bidi="tr-TR"/>
        </w:rPr>
        <w:t>/2020</w:t>
      </w:r>
    </w:p>
    <w:p w:rsidR="00810457" w:rsidRDefault="00810457" w:rsidP="00810457">
      <w:pPr>
        <w:spacing w:before="211" w:line="259" w:lineRule="exact"/>
        <w:jc w:val="center"/>
      </w:pPr>
    </w:p>
    <w:p w:rsidR="00810457" w:rsidRDefault="00810457" w:rsidP="00810457">
      <w:pPr>
        <w:spacing w:before="211" w:line="259" w:lineRule="exact"/>
        <w:jc w:val="center"/>
      </w:pPr>
      <w:r>
        <w:t>ÇEVRE (DEĞİŞİKLİK) YASASI</w:t>
      </w:r>
    </w:p>
    <w:p w:rsidR="00810457" w:rsidRDefault="00810457" w:rsidP="00810457">
      <w:pPr>
        <w:jc w:val="center"/>
      </w:pPr>
    </w:p>
    <w:tbl>
      <w:tblPr>
        <w:tblW w:w="9465" w:type="dxa"/>
        <w:tblLayout w:type="fixed"/>
        <w:tblLook w:val="04A0" w:firstRow="1" w:lastRow="0" w:firstColumn="1" w:lastColumn="0" w:noHBand="0" w:noVBand="1"/>
      </w:tblPr>
      <w:tblGrid>
        <w:gridCol w:w="18"/>
        <w:gridCol w:w="450"/>
        <w:gridCol w:w="1439"/>
        <w:gridCol w:w="44"/>
        <w:gridCol w:w="567"/>
        <w:gridCol w:w="142"/>
        <w:gridCol w:w="709"/>
        <w:gridCol w:w="5915"/>
        <w:gridCol w:w="181"/>
      </w:tblGrid>
      <w:tr w:rsidR="00810457" w:rsidTr="00810457">
        <w:trPr>
          <w:gridAfter w:val="1"/>
          <w:wAfter w:w="181" w:type="dxa"/>
        </w:trPr>
        <w:tc>
          <w:tcPr>
            <w:tcW w:w="468" w:type="dxa"/>
            <w:gridSpan w:val="2"/>
          </w:tcPr>
          <w:p w:rsidR="00810457" w:rsidRDefault="00810457">
            <w:pPr>
              <w:jc w:val="center"/>
            </w:pPr>
          </w:p>
        </w:tc>
        <w:tc>
          <w:tcPr>
            <w:tcW w:w="8819" w:type="dxa"/>
            <w:gridSpan w:val="6"/>
          </w:tcPr>
          <w:p w:rsidR="00810457" w:rsidRDefault="00810457">
            <w:pPr>
              <w:jc w:val="both"/>
            </w:pPr>
            <w:r>
              <w:t xml:space="preserve">     Kuzey Kıbrıs Türk Cumhuriyeti Cumhuriyet Meclisi aşağıdaki Yasayı yapar:</w:t>
            </w:r>
          </w:p>
          <w:p w:rsidR="00810457" w:rsidRDefault="00810457">
            <w:pPr>
              <w:jc w:val="both"/>
            </w:pPr>
          </w:p>
        </w:tc>
      </w:tr>
      <w:tr w:rsidR="00810457" w:rsidTr="00810457">
        <w:trPr>
          <w:gridAfter w:val="1"/>
          <w:wAfter w:w="181" w:type="dxa"/>
        </w:trPr>
        <w:tc>
          <w:tcPr>
            <w:tcW w:w="1908" w:type="dxa"/>
            <w:gridSpan w:val="3"/>
          </w:tcPr>
          <w:p w:rsidR="00810457" w:rsidRDefault="00810457">
            <w:r>
              <w:t>Kısa İsim</w:t>
            </w:r>
          </w:p>
          <w:p w:rsidR="00810457" w:rsidRDefault="00810457">
            <w:r>
              <w:t xml:space="preserve">    18/2012</w:t>
            </w:r>
          </w:p>
          <w:p w:rsidR="00810457" w:rsidRDefault="00810457">
            <w:r>
              <w:t>30/2014</w:t>
            </w:r>
          </w:p>
          <w:p w:rsidR="00810457" w:rsidRDefault="00810457"/>
        </w:tc>
        <w:tc>
          <w:tcPr>
            <w:tcW w:w="7379" w:type="dxa"/>
            <w:gridSpan w:val="5"/>
          </w:tcPr>
          <w:p w:rsidR="00810457" w:rsidRDefault="00810457">
            <w:pPr>
              <w:jc w:val="both"/>
            </w:pPr>
            <w:r>
              <w:t>1. Bu Yasa, Çevre (Değişiklik) Yasası olarak isimlendirilir ve aşağıda “Esas Yasa” olarak anılan Çevre Yasası ile birlikte okunur.</w:t>
            </w:r>
          </w:p>
          <w:p w:rsidR="00810457" w:rsidRDefault="00810457">
            <w:pPr>
              <w:jc w:val="both"/>
            </w:pPr>
          </w:p>
        </w:tc>
      </w:tr>
      <w:tr w:rsidR="00810457" w:rsidTr="00810457">
        <w:trPr>
          <w:gridAfter w:val="1"/>
          <w:wAfter w:w="181" w:type="dxa"/>
        </w:trPr>
        <w:tc>
          <w:tcPr>
            <w:tcW w:w="1908" w:type="dxa"/>
            <w:gridSpan w:val="3"/>
            <w:hideMark/>
          </w:tcPr>
          <w:p w:rsidR="00810457" w:rsidRDefault="00810457">
            <w:r>
              <w:t>Esas Yasanın 36’ncı Maddesinin değiştirilmesi</w:t>
            </w:r>
          </w:p>
        </w:tc>
        <w:tc>
          <w:tcPr>
            <w:tcW w:w="7379" w:type="dxa"/>
            <w:gridSpan w:val="5"/>
          </w:tcPr>
          <w:p w:rsidR="00810457" w:rsidRDefault="00810457">
            <w:pPr>
              <w:jc w:val="both"/>
            </w:pPr>
            <w:r>
              <w:t>2. Esas Yasa, 36’ncı maddesinin yan başlığının sonuna “ve Tüzükle İlgili Yükümlülükler ile Yasaklar” söz dizisi eklenmek ve (2)’nci fıkradan hemen sonra aşağıdaki yeni (3)’üncü, (4)’üncü, (5)’inci ve (6)’ncı fıkralar eklenmek suretiyle değiştirilir:</w:t>
            </w:r>
          </w:p>
          <w:p w:rsidR="00810457" w:rsidRDefault="00810457">
            <w:pPr>
              <w:jc w:val="both"/>
            </w:pPr>
          </w:p>
        </w:tc>
      </w:tr>
      <w:tr w:rsidR="00810457" w:rsidTr="00810457">
        <w:trPr>
          <w:trHeight w:val="899"/>
        </w:trPr>
        <w:tc>
          <w:tcPr>
            <w:tcW w:w="1952" w:type="dxa"/>
            <w:gridSpan w:val="4"/>
          </w:tcPr>
          <w:p w:rsidR="00810457" w:rsidRDefault="00810457"/>
        </w:tc>
        <w:tc>
          <w:tcPr>
            <w:tcW w:w="709" w:type="dxa"/>
            <w:gridSpan w:val="2"/>
            <w:hideMark/>
          </w:tcPr>
          <w:p w:rsidR="00810457" w:rsidRDefault="00810457">
            <w:pPr>
              <w:jc w:val="both"/>
            </w:pPr>
            <w:r>
              <w:t>“(3)</w:t>
            </w:r>
          </w:p>
        </w:tc>
        <w:tc>
          <w:tcPr>
            <w:tcW w:w="709" w:type="dxa"/>
            <w:hideMark/>
          </w:tcPr>
          <w:p w:rsidR="00810457" w:rsidRDefault="00810457">
            <w:pPr>
              <w:jc w:val="both"/>
            </w:pPr>
            <w:r>
              <w:t xml:space="preserve">(A) </w:t>
            </w:r>
          </w:p>
        </w:tc>
        <w:tc>
          <w:tcPr>
            <w:tcW w:w="6098" w:type="dxa"/>
            <w:gridSpan w:val="2"/>
            <w:hideMark/>
          </w:tcPr>
          <w:p w:rsidR="00810457" w:rsidRDefault="00810457">
            <w:pPr>
              <w:jc w:val="both"/>
            </w:pPr>
            <w:r>
              <w:t>Yukarıdaki (1)’inci fıkranın (B) bendi uyarınca çıkarılan, büyük yakma tesisleri ile ilgili tüzük kurallarına aykırı hareket etmek yasaktır.</w:t>
            </w:r>
          </w:p>
        </w:tc>
      </w:tr>
      <w:tr w:rsidR="00810457" w:rsidTr="00810457">
        <w:trPr>
          <w:trHeight w:val="1029"/>
        </w:trPr>
        <w:tc>
          <w:tcPr>
            <w:tcW w:w="1952" w:type="dxa"/>
            <w:gridSpan w:val="4"/>
          </w:tcPr>
          <w:p w:rsidR="00810457" w:rsidRDefault="00810457"/>
        </w:tc>
        <w:tc>
          <w:tcPr>
            <w:tcW w:w="709" w:type="dxa"/>
            <w:gridSpan w:val="2"/>
          </w:tcPr>
          <w:p w:rsidR="00810457" w:rsidRDefault="00810457">
            <w:pPr>
              <w:jc w:val="both"/>
            </w:pPr>
          </w:p>
        </w:tc>
        <w:tc>
          <w:tcPr>
            <w:tcW w:w="709" w:type="dxa"/>
            <w:hideMark/>
          </w:tcPr>
          <w:p w:rsidR="00810457" w:rsidRDefault="00810457">
            <w:pPr>
              <w:jc w:val="both"/>
            </w:pPr>
            <w:r>
              <w:t>(B)</w:t>
            </w:r>
          </w:p>
        </w:tc>
        <w:tc>
          <w:tcPr>
            <w:tcW w:w="6098" w:type="dxa"/>
            <w:gridSpan w:val="2"/>
            <w:hideMark/>
          </w:tcPr>
          <w:p w:rsidR="00810457" w:rsidRDefault="00810457">
            <w:pPr>
              <w:jc w:val="both"/>
            </w:pPr>
            <w:r>
              <w:t>Yukarıdaki (1)’inci fıkranın (B) bendi uyarınca çıkarılan, büyük yakma tesisleri ile ilgili tüzük kapsamındaki tesislerin işletmecisi, tüzük kuralları temelinde tesisine baca gazı sürekli emisyon izleme sistemi kurmak,  sürekli emisyon izleme sisteminin doğru bir şekilde çalışmasını sağlamak, bu sistemde meydana gelen arızaları gidermek ve bu sistemin çalıştırılmasını tüzük kurallarına göre yapmakla yükümlüdür.</w:t>
            </w:r>
          </w:p>
        </w:tc>
      </w:tr>
      <w:tr w:rsidR="00810457" w:rsidTr="00810457">
        <w:trPr>
          <w:trHeight w:val="1029"/>
        </w:trPr>
        <w:tc>
          <w:tcPr>
            <w:tcW w:w="1952" w:type="dxa"/>
            <w:gridSpan w:val="4"/>
          </w:tcPr>
          <w:p w:rsidR="00810457" w:rsidRDefault="00810457"/>
        </w:tc>
        <w:tc>
          <w:tcPr>
            <w:tcW w:w="709" w:type="dxa"/>
            <w:gridSpan w:val="2"/>
          </w:tcPr>
          <w:p w:rsidR="00810457" w:rsidRDefault="00810457">
            <w:pPr>
              <w:jc w:val="both"/>
            </w:pPr>
          </w:p>
        </w:tc>
        <w:tc>
          <w:tcPr>
            <w:tcW w:w="709" w:type="dxa"/>
            <w:hideMark/>
          </w:tcPr>
          <w:p w:rsidR="00810457" w:rsidRDefault="00810457">
            <w:pPr>
              <w:jc w:val="both"/>
            </w:pPr>
            <w:r>
              <w:t>(C)</w:t>
            </w:r>
          </w:p>
        </w:tc>
        <w:tc>
          <w:tcPr>
            <w:tcW w:w="6098" w:type="dxa"/>
            <w:gridSpan w:val="2"/>
            <w:hideMark/>
          </w:tcPr>
          <w:p w:rsidR="00810457" w:rsidRDefault="00810457">
            <w:pPr>
              <w:jc w:val="both"/>
            </w:pPr>
            <w:r>
              <w:t xml:space="preserve">Yukarıdaki (1)’inci fıkranın (B) bendi uyarınca çıkarılan, büyük yakma tesisleri ile ilgili tüzük kapsamındaki tesislerin işletmecisi, tüzükte belirtilen baca gazı standartlarını sağlamak amacıyla tesisine baca gazı arıtma donanımı kurmak, bu donanımın verimli bir şekilde çalışmasını sağlamak, bu donanımda meydana gelen arızaları gidermek ve bu donanımın çalıştırılmasını tüzük kurallarına göre yapmakla yükümlüdür. </w:t>
            </w:r>
          </w:p>
        </w:tc>
      </w:tr>
      <w:tr w:rsidR="00810457" w:rsidTr="00810457">
        <w:trPr>
          <w:trHeight w:val="1029"/>
        </w:trPr>
        <w:tc>
          <w:tcPr>
            <w:tcW w:w="1952" w:type="dxa"/>
            <w:gridSpan w:val="4"/>
          </w:tcPr>
          <w:p w:rsidR="00810457" w:rsidRDefault="00810457"/>
        </w:tc>
        <w:tc>
          <w:tcPr>
            <w:tcW w:w="709" w:type="dxa"/>
            <w:gridSpan w:val="2"/>
          </w:tcPr>
          <w:p w:rsidR="00810457" w:rsidRDefault="00810457">
            <w:pPr>
              <w:jc w:val="both"/>
            </w:pPr>
          </w:p>
        </w:tc>
        <w:tc>
          <w:tcPr>
            <w:tcW w:w="709" w:type="dxa"/>
            <w:hideMark/>
          </w:tcPr>
          <w:p w:rsidR="00810457" w:rsidRDefault="00810457">
            <w:pPr>
              <w:jc w:val="both"/>
            </w:pPr>
            <w:r>
              <w:t>(Ç)</w:t>
            </w:r>
          </w:p>
        </w:tc>
        <w:tc>
          <w:tcPr>
            <w:tcW w:w="6098" w:type="dxa"/>
            <w:gridSpan w:val="2"/>
            <w:hideMark/>
          </w:tcPr>
          <w:p w:rsidR="00810457" w:rsidRDefault="00810457">
            <w:pPr>
              <w:jc w:val="both"/>
            </w:pPr>
            <w:r>
              <w:t xml:space="preserve">Yukarıdaki (1)’inci fıkranın (B) bendi uyarınca çıkarılan, büyük yakma tesisleri ile ilgili tüzük kapsamındaki tesislerin işletmecisi, tesisindeki baca gazı sürekli emisyon izleme sisteminden elde edilen sonuçlara göre tüzükte yer alan emisyon sınır değerlerini sağlamakla yükümlüdür. </w:t>
            </w:r>
          </w:p>
        </w:tc>
      </w:tr>
      <w:tr w:rsidR="00810457" w:rsidTr="00810457">
        <w:trPr>
          <w:trHeight w:val="867"/>
        </w:trPr>
        <w:tc>
          <w:tcPr>
            <w:tcW w:w="1952" w:type="dxa"/>
            <w:gridSpan w:val="4"/>
          </w:tcPr>
          <w:p w:rsidR="00810457" w:rsidRDefault="00810457"/>
        </w:tc>
        <w:tc>
          <w:tcPr>
            <w:tcW w:w="709" w:type="dxa"/>
            <w:gridSpan w:val="2"/>
            <w:hideMark/>
          </w:tcPr>
          <w:p w:rsidR="00810457" w:rsidRDefault="00810457">
            <w:pPr>
              <w:jc w:val="both"/>
            </w:pPr>
            <w:r>
              <w:t>(4)</w:t>
            </w:r>
          </w:p>
        </w:tc>
        <w:tc>
          <w:tcPr>
            <w:tcW w:w="709" w:type="dxa"/>
            <w:hideMark/>
          </w:tcPr>
          <w:p w:rsidR="00810457" w:rsidRDefault="00810457">
            <w:pPr>
              <w:jc w:val="both"/>
            </w:pPr>
            <w:r>
              <w:t>(A)</w:t>
            </w:r>
          </w:p>
        </w:tc>
        <w:tc>
          <w:tcPr>
            <w:tcW w:w="6098" w:type="dxa"/>
            <w:gridSpan w:val="2"/>
            <w:hideMark/>
          </w:tcPr>
          <w:p w:rsidR="00810457" w:rsidRDefault="00810457">
            <w:pPr>
              <w:jc w:val="both"/>
            </w:pPr>
            <w:r>
              <w:t>Yukarıdaki (1)’inci fıkranın (C) bendi uyarınca çıkarılan, atık yakma tesisleri ile ilgili tüzük kurallarına aykırı hareket etmek yasaktır.</w:t>
            </w:r>
          </w:p>
        </w:tc>
      </w:tr>
      <w:tr w:rsidR="00810457" w:rsidTr="00810457">
        <w:trPr>
          <w:trHeight w:val="1029"/>
        </w:trPr>
        <w:tc>
          <w:tcPr>
            <w:tcW w:w="1952" w:type="dxa"/>
            <w:gridSpan w:val="4"/>
          </w:tcPr>
          <w:p w:rsidR="00810457" w:rsidRDefault="00810457"/>
        </w:tc>
        <w:tc>
          <w:tcPr>
            <w:tcW w:w="709" w:type="dxa"/>
            <w:gridSpan w:val="2"/>
          </w:tcPr>
          <w:p w:rsidR="00810457" w:rsidRDefault="00810457">
            <w:pPr>
              <w:jc w:val="both"/>
            </w:pPr>
          </w:p>
        </w:tc>
        <w:tc>
          <w:tcPr>
            <w:tcW w:w="709" w:type="dxa"/>
            <w:hideMark/>
          </w:tcPr>
          <w:p w:rsidR="00810457" w:rsidRDefault="00810457">
            <w:pPr>
              <w:jc w:val="both"/>
            </w:pPr>
            <w:r>
              <w:t>(B)</w:t>
            </w:r>
          </w:p>
        </w:tc>
        <w:tc>
          <w:tcPr>
            <w:tcW w:w="6098" w:type="dxa"/>
            <w:gridSpan w:val="2"/>
            <w:hideMark/>
          </w:tcPr>
          <w:p w:rsidR="00810457" w:rsidRDefault="00810457">
            <w:pPr>
              <w:jc w:val="both"/>
            </w:pPr>
            <w:r>
              <w:t xml:space="preserve">Yukarıdaki (1)’inci fıkranın (C) bendi uyarınca çıkarılan, atık yakma tesisleri ile ilgili tüzük kapsamındaki tesislerin işletmecisi, tüzük kuralları temelinde tesisine baca gazı sürekli emisyon izleme sistemi kurmak,  sürekli emisyon izleme sisteminin doğru bir şekilde çalışmasını sağlamak, bu sistemde meydana gelen arızaları gidermek ve bu sistemin çalıştırılmasını tüzük kurallarına göre yapmakla yükümlüdür. </w:t>
            </w:r>
          </w:p>
        </w:tc>
      </w:tr>
      <w:tr w:rsidR="00810457" w:rsidTr="00810457">
        <w:trPr>
          <w:trHeight w:val="1029"/>
        </w:trPr>
        <w:tc>
          <w:tcPr>
            <w:tcW w:w="1952" w:type="dxa"/>
            <w:gridSpan w:val="4"/>
          </w:tcPr>
          <w:p w:rsidR="00810457" w:rsidRDefault="00810457"/>
        </w:tc>
        <w:tc>
          <w:tcPr>
            <w:tcW w:w="709" w:type="dxa"/>
            <w:gridSpan w:val="2"/>
          </w:tcPr>
          <w:p w:rsidR="00810457" w:rsidRDefault="00810457">
            <w:pPr>
              <w:jc w:val="both"/>
            </w:pPr>
          </w:p>
        </w:tc>
        <w:tc>
          <w:tcPr>
            <w:tcW w:w="709" w:type="dxa"/>
            <w:hideMark/>
          </w:tcPr>
          <w:p w:rsidR="00810457" w:rsidRDefault="00810457">
            <w:pPr>
              <w:jc w:val="both"/>
            </w:pPr>
            <w:r>
              <w:t>(C)</w:t>
            </w:r>
          </w:p>
        </w:tc>
        <w:tc>
          <w:tcPr>
            <w:tcW w:w="6098" w:type="dxa"/>
            <w:gridSpan w:val="2"/>
            <w:hideMark/>
          </w:tcPr>
          <w:p w:rsidR="00810457" w:rsidRDefault="00810457">
            <w:pPr>
              <w:jc w:val="both"/>
            </w:pPr>
            <w:r>
              <w:t xml:space="preserve">Yukarıdaki (1)’inci fıkranın (C) bendi uyarınca çıkarılan, atık yakma tesisleri ile ilgili tüzük kapsamındaki tesislerin işletmecisi, tüzükte belirtilen baca gazı standartlarını sağlamak amacıyla tesisine baca gazı arıtma donanımı kurmak, bu donanımın verimli bir şekilde çalışmasını sağlamak, bu donanımda meydana gelen arızaları gidermek ve bu donanımın çalıştırılmasını tüzük kurallarına göre yapmakla yükümlüdür. </w:t>
            </w:r>
          </w:p>
        </w:tc>
      </w:tr>
      <w:tr w:rsidR="00810457" w:rsidTr="00810457">
        <w:trPr>
          <w:trHeight w:val="1029"/>
        </w:trPr>
        <w:tc>
          <w:tcPr>
            <w:tcW w:w="1952" w:type="dxa"/>
            <w:gridSpan w:val="4"/>
          </w:tcPr>
          <w:p w:rsidR="00810457" w:rsidRDefault="00810457"/>
        </w:tc>
        <w:tc>
          <w:tcPr>
            <w:tcW w:w="709" w:type="dxa"/>
            <w:gridSpan w:val="2"/>
          </w:tcPr>
          <w:p w:rsidR="00810457" w:rsidRDefault="00810457">
            <w:pPr>
              <w:jc w:val="both"/>
            </w:pPr>
          </w:p>
        </w:tc>
        <w:tc>
          <w:tcPr>
            <w:tcW w:w="709" w:type="dxa"/>
            <w:hideMark/>
          </w:tcPr>
          <w:p w:rsidR="00810457" w:rsidRDefault="00810457">
            <w:pPr>
              <w:jc w:val="both"/>
            </w:pPr>
            <w:r>
              <w:t>(Ç)</w:t>
            </w:r>
          </w:p>
        </w:tc>
        <w:tc>
          <w:tcPr>
            <w:tcW w:w="6098" w:type="dxa"/>
            <w:gridSpan w:val="2"/>
            <w:hideMark/>
          </w:tcPr>
          <w:p w:rsidR="00810457" w:rsidRDefault="00810457">
            <w:pPr>
              <w:jc w:val="both"/>
            </w:pPr>
            <w:r>
              <w:t xml:space="preserve">Yukarıdaki (1)’inci fıkranın (C) bendi uyarınca çıkarılan, atık yakma tesisleri ile ilgili tüzük kapsamındaki tesislerin işletmecisi, tesisindeki baca gazı sürekli emisyon izleme sisteminden elde edilen sonuçlara göre tüzükte yer alan emisyon sınır değerlerini sağlamakla yükümlüdür. </w:t>
            </w:r>
          </w:p>
        </w:tc>
      </w:tr>
      <w:tr w:rsidR="00810457" w:rsidTr="00810457">
        <w:trPr>
          <w:trHeight w:val="811"/>
        </w:trPr>
        <w:tc>
          <w:tcPr>
            <w:tcW w:w="1952" w:type="dxa"/>
            <w:gridSpan w:val="4"/>
          </w:tcPr>
          <w:p w:rsidR="00810457" w:rsidRDefault="00810457"/>
        </w:tc>
        <w:tc>
          <w:tcPr>
            <w:tcW w:w="709" w:type="dxa"/>
            <w:gridSpan w:val="2"/>
            <w:hideMark/>
          </w:tcPr>
          <w:p w:rsidR="00810457" w:rsidRDefault="00810457">
            <w:pPr>
              <w:jc w:val="both"/>
            </w:pPr>
            <w:r>
              <w:t>(5)</w:t>
            </w:r>
          </w:p>
        </w:tc>
        <w:tc>
          <w:tcPr>
            <w:tcW w:w="6807" w:type="dxa"/>
            <w:gridSpan w:val="3"/>
            <w:hideMark/>
          </w:tcPr>
          <w:p w:rsidR="00810457" w:rsidRDefault="00810457">
            <w:pPr>
              <w:jc w:val="both"/>
            </w:pPr>
            <w:r>
              <w:t>Yukarıdaki (1)’inci fıkranın (Ç) bendi uyarınca çıkarılan uçucu organik bileşiklerin emisyonlarını azaltmak için çözücüler kullanan tesisler ile ilgili tüzük kurallarına aykırı hareket etmek yasaktır.</w:t>
            </w:r>
          </w:p>
        </w:tc>
      </w:tr>
      <w:tr w:rsidR="00810457" w:rsidTr="00810457">
        <w:trPr>
          <w:trHeight w:val="344"/>
        </w:trPr>
        <w:tc>
          <w:tcPr>
            <w:tcW w:w="1952" w:type="dxa"/>
            <w:gridSpan w:val="4"/>
          </w:tcPr>
          <w:p w:rsidR="00810457" w:rsidRDefault="00810457"/>
        </w:tc>
        <w:tc>
          <w:tcPr>
            <w:tcW w:w="709" w:type="dxa"/>
            <w:gridSpan w:val="2"/>
            <w:hideMark/>
          </w:tcPr>
          <w:p w:rsidR="00810457" w:rsidRDefault="00810457">
            <w:pPr>
              <w:jc w:val="both"/>
            </w:pPr>
            <w:r>
              <w:t>(6)</w:t>
            </w:r>
          </w:p>
        </w:tc>
        <w:tc>
          <w:tcPr>
            <w:tcW w:w="6807" w:type="dxa"/>
            <w:gridSpan w:val="3"/>
            <w:hideMark/>
          </w:tcPr>
          <w:p w:rsidR="00810457" w:rsidRDefault="00810457">
            <w:pPr>
              <w:jc w:val="both"/>
              <w:rPr>
                <w:color w:val="FF0000"/>
              </w:rPr>
            </w:pPr>
            <w:r>
              <w:t>Yukarıdaki (2)’nci fıkra uyarınca çıkarılan;</w:t>
            </w:r>
            <w:r>
              <w:rPr>
                <w:color w:val="FF0000"/>
              </w:rPr>
              <w:t xml:space="preserve"> </w:t>
            </w:r>
          </w:p>
        </w:tc>
      </w:tr>
      <w:tr w:rsidR="00810457" w:rsidTr="00810457">
        <w:trPr>
          <w:trHeight w:val="487"/>
        </w:trPr>
        <w:tc>
          <w:tcPr>
            <w:tcW w:w="1952" w:type="dxa"/>
            <w:gridSpan w:val="4"/>
          </w:tcPr>
          <w:p w:rsidR="00810457" w:rsidRDefault="00810457">
            <w:pPr>
              <w:rPr>
                <w:color w:val="FF0000"/>
              </w:rPr>
            </w:pPr>
          </w:p>
        </w:tc>
        <w:tc>
          <w:tcPr>
            <w:tcW w:w="709" w:type="dxa"/>
            <w:gridSpan w:val="2"/>
          </w:tcPr>
          <w:p w:rsidR="00810457" w:rsidRDefault="00810457">
            <w:pPr>
              <w:jc w:val="both"/>
              <w:rPr>
                <w:color w:val="FF0000"/>
              </w:rPr>
            </w:pPr>
          </w:p>
        </w:tc>
        <w:tc>
          <w:tcPr>
            <w:tcW w:w="709" w:type="dxa"/>
            <w:hideMark/>
          </w:tcPr>
          <w:p w:rsidR="00810457" w:rsidRDefault="00810457">
            <w:pPr>
              <w:jc w:val="both"/>
            </w:pPr>
            <w:r>
              <w:t>(A)</w:t>
            </w:r>
          </w:p>
        </w:tc>
        <w:tc>
          <w:tcPr>
            <w:tcW w:w="6098" w:type="dxa"/>
            <w:gridSpan w:val="2"/>
            <w:hideMark/>
          </w:tcPr>
          <w:p w:rsidR="00810457" w:rsidRDefault="00810457">
            <w:pPr>
              <w:jc w:val="both"/>
            </w:pPr>
            <w:r>
              <w:t>Petrol depolama, yükleme veya boşaltımından kaynaklanan uçucu organik bileşik salınımlarının kontrolüne yönelik,</w:t>
            </w:r>
          </w:p>
        </w:tc>
      </w:tr>
      <w:tr w:rsidR="00810457" w:rsidTr="00810457">
        <w:trPr>
          <w:trHeight w:val="779"/>
        </w:trPr>
        <w:tc>
          <w:tcPr>
            <w:tcW w:w="1952" w:type="dxa"/>
            <w:gridSpan w:val="4"/>
          </w:tcPr>
          <w:p w:rsidR="00810457" w:rsidRDefault="00810457">
            <w:pPr>
              <w:rPr>
                <w:color w:val="FF0000"/>
              </w:rPr>
            </w:pPr>
          </w:p>
        </w:tc>
        <w:tc>
          <w:tcPr>
            <w:tcW w:w="709" w:type="dxa"/>
            <w:gridSpan w:val="2"/>
          </w:tcPr>
          <w:p w:rsidR="00810457" w:rsidRDefault="00810457">
            <w:pPr>
              <w:jc w:val="both"/>
              <w:rPr>
                <w:color w:val="FF0000"/>
              </w:rPr>
            </w:pPr>
          </w:p>
        </w:tc>
        <w:tc>
          <w:tcPr>
            <w:tcW w:w="709" w:type="dxa"/>
            <w:hideMark/>
          </w:tcPr>
          <w:p w:rsidR="00810457" w:rsidRDefault="00810457">
            <w:pPr>
              <w:jc w:val="both"/>
            </w:pPr>
            <w:r>
              <w:t>(B)</w:t>
            </w:r>
          </w:p>
        </w:tc>
        <w:tc>
          <w:tcPr>
            <w:tcW w:w="6098" w:type="dxa"/>
            <w:gridSpan w:val="2"/>
            <w:hideMark/>
          </w:tcPr>
          <w:p w:rsidR="00810457" w:rsidRDefault="00810457">
            <w:pPr>
              <w:jc w:val="both"/>
            </w:pPr>
            <w:r>
              <w:t xml:space="preserve">Motorlu araçların akaryakıt istasyonlarında yakıt ikmali yaparken uçucu organik bileşiklerinin emisyonunun izlenmesine ilişkin  </w:t>
            </w:r>
          </w:p>
        </w:tc>
      </w:tr>
      <w:tr w:rsidR="00810457" w:rsidTr="00810457">
        <w:trPr>
          <w:trHeight w:val="238"/>
        </w:trPr>
        <w:tc>
          <w:tcPr>
            <w:tcW w:w="1952" w:type="dxa"/>
            <w:gridSpan w:val="4"/>
          </w:tcPr>
          <w:p w:rsidR="00810457" w:rsidRDefault="00810457"/>
        </w:tc>
        <w:tc>
          <w:tcPr>
            <w:tcW w:w="709" w:type="dxa"/>
            <w:gridSpan w:val="2"/>
          </w:tcPr>
          <w:p w:rsidR="00810457" w:rsidRDefault="00810457">
            <w:pPr>
              <w:jc w:val="both"/>
            </w:pPr>
          </w:p>
        </w:tc>
        <w:tc>
          <w:tcPr>
            <w:tcW w:w="6807" w:type="dxa"/>
            <w:gridSpan w:val="3"/>
          </w:tcPr>
          <w:p w:rsidR="00810457" w:rsidRDefault="00810457">
            <w:pPr>
              <w:jc w:val="both"/>
            </w:pPr>
            <w:r>
              <w:t>tüzüklerin kurallarına aykırı hareket etmek yasaktır.”</w:t>
            </w:r>
          </w:p>
          <w:p w:rsidR="00810457" w:rsidRDefault="00810457">
            <w:pPr>
              <w:jc w:val="both"/>
            </w:pPr>
          </w:p>
        </w:tc>
      </w:tr>
      <w:tr w:rsidR="00810457" w:rsidTr="00810457">
        <w:trPr>
          <w:trHeight w:val="239"/>
        </w:trPr>
        <w:tc>
          <w:tcPr>
            <w:tcW w:w="1908" w:type="dxa"/>
            <w:gridSpan w:val="3"/>
            <w:hideMark/>
          </w:tcPr>
          <w:p w:rsidR="00810457" w:rsidRDefault="00810457">
            <w:r>
              <w:t>Esas Yasanın</w:t>
            </w:r>
          </w:p>
        </w:tc>
        <w:tc>
          <w:tcPr>
            <w:tcW w:w="7560" w:type="dxa"/>
            <w:gridSpan w:val="6"/>
            <w:hideMark/>
          </w:tcPr>
          <w:p w:rsidR="00810457" w:rsidRDefault="00810457">
            <w:pPr>
              <w:jc w:val="both"/>
            </w:pPr>
            <w:r>
              <w:t>3. Esas Yasa, 78’inci maddesine bağlı Cetvelin;</w:t>
            </w:r>
          </w:p>
        </w:tc>
      </w:tr>
      <w:tr w:rsidR="00810457" w:rsidTr="00810457">
        <w:trPr>
          <w:gridBefore w:val="1"/>
          <w:wBefore w:w="18" w:type="dxa"/>
        </w:trPr>
        <w:tc>
          <w:tcPr>
            <w:tcW w:w="1890" w:type="dxa"/>
            <w:gridSpan w:val="2"/>
          </w:tcPr>
          <w:p w:rsidR="00810457" w:rsidRDefault="00810457">
            <w:r>
              <w:t>78’inci</w:t>
            </w:r>
          </w:p>
          <w:p w:rsidR="00810457" w:rsidRDefault="00810457">
            <w:r>
              <w:t>Maddesine Bağlı Cetvelin Değiştirilmesi</w:t>
            </w:r>
          </w:p>
          <w:p w:rsidR="00810457" w:rsidRDefault="00810457"/>
        </w:tc>
        <w:tc>
          <w:tcPr>
            <w:tcW w:w="611" w:type="dxa"/>
            <w:gridSpan w:val="2"/>
            <w:hideMark/>
          </w:tcPr>
          <w:p w:rsidR="00810457" w:rsidRDefault="00810457">
            <w:r>
              <w:t>(1)</w:t>
            </w:r>
          </w:p>
        </w:tc>
        <w:tc>
          <w:tcPr>
            <w:tcW w:w="6949" w:type="dxa"/>
            <w:gridSpan w:val="4"/>
          </w:tcPr>
          <w:p w:rsidR="00810457" w:rsidRDefault="00810457">
            <w:pPr>
              <w:jc w:val="both"/>
            </w:pPr>
            <w:r>
              <w:t>25’inci ve 26’ncı satırları kaldırılmak ve yerine aşağıdaki yeni 25’inci ve 26’ncı satırlar konmak suretiyle değiştirilir:</w:t>
            </w:r>
          </w:p>
          <w:p w:rsidR="00810457" w:rsidRDefault="00810457">
            <w:pPr>
              <w:jc w:val="both"/>
            </w:pPr>
          </w:p>
        </w:tc>
      </w:tr>
    </w:tbl>
    <w:p w:rsidR="00810457" w:rsidRDefault="00810457" w:rsidP="00810457">
      <w:pPr>
        <w:rPr>
          <w:vanish/>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1843"/>
        <w:gridCol w:w="1525"/>
      </w:tblGrid>
      <w:tr w:rsidR="00810457" w:rsidTr="00810457">
        <w:tc>
          <w:tcPr>
            <w:tcW w:w="851" w:type="dxa"/>
            <w:tcBorders>
              <w:top w:val="single" w:sz="4" w:space="0" w:color="auto"/>
              <w:left w:val="single" w:sz="4" w:space="0" w:color="auto"/>
              <w:bottom w:val="single" w:sz="4" w:space="0" w:color="auto"/>
              <w:right w:val="single" w:sz="4" w:space="0" w:color="auto"/>
            </w:tcBorders>
            <w:hideMark/>
          </w:tcPr>
          <w:p w:rsidR="00810457" w:rsidRDefault="00810457">
            <w:r>
              <w:t>25.</w:t>
            </w:r>
          </w:p>
        </w:tc>
        <w:tc>
          <w:tcPr>
            <w:tcW w:w="4961" w:type="dxa"/>
            <w:tcBorders>
              <w:top w:val="single" w:sz="4" w:space="0" w:color="auto"/>
              <w:left w:val="single" w:sz="4" w:space="0" w:color="auto"/>
              <w:bottom w:val="single" w:sz="4" w:space="0" w:color="auto"/>
              <w:right w:val="single" w:sz="4" w:space="0" w:color="auto"/>
            </w:tcBorders>
            <w:hideMark/>
          </w:tcPr>
          <w:p w:rsidR="00810457" w:rsidRDefault="00810457">
            <w:pPr>
              <w:jc w:val="both"/>
              <w:rPr>
                <w:lang w:eastAsia="en-US"/>
              </w:rPr>
            </w:pPr>
            <w:r>
              <w:rPr>
                <w:lang w:eastAsia="en-US"/>
              </w:rPr>
              <w:t>Atığın bir gemiden diğerine veya herhangi bir tesise transferi veya tahliyesi esnasında veya herhangi bir şekilde gerçekleşen kazalar da dahil, evsel veya diğer atığın kara sularına deşarjı,</w:t>
            </w:r>
          </w:p>
          <w:p w:rsidR="00810457" w:rsidRDefault="00810457">
            <w:pPr>
              <w:rPr>
                <w:lang w:eastAsia="en-US"/>
              </w:rPr>
            </w:pPr>
            <w:r>
              <w:rPr>
                <w:lang w:eastAsia="en-US"/>
              </w:rPr>
              <w:t xml:space="preserve">(A) 10 – 18 gros ton arası gemiler ve diğer deniz araçları  </w:t>
            </w:r>
          </w:p>
          <w:p w:rsidR="00810457" w:rsidRDefault="00810457">
            <w:pPr>
              <w:rPr>
                <w:lang w:eastAsia="en-US"/>
              </w:rPr>
            </w:pPr>
            <w:r>
              <w:rPr>
                <w:lang w:eastAsia="en-US"/>
              </w:rPr>
              <w:t xml:space="preserve">(B) Tankerler de dahil 18 – 1000 gros ton arası her tür gemi  </w:t>
            </w:r>
          </w:p>
          <w:p w:rsidR="00810457" w:rsidRDefault="00810457">
            <w:pPr>
              <w:rPr>
                <w:lang w:eastAsia="en-US"/>
              </w:rPr>
            </w:pPr>
            <w:r>
              <w:rPr>
                <w:lang w:eastAsia="en-US"/>
              </w:rPr>
              <w:t xml:space="preserve">(C) Tankerler de dahil 1000 gros tondan fazla </w:t>
            </w:r>
            <w:r>
              <w:rPr>
                <w:lang w:eastAsia="en-US"/>
              </w:rPr>
              <w:lastRenderedPageBreak/>
              <w:t>olan her tür gemi</w:t>
            </w:r>
          </w:p>
        </w:tc>
        <w:tc>
          <w:tcPr>
            <w:tcW w:w="1843" w:type="dxa"/>
            <w:tcBorders>
              <w:top w:val="single" w:sz="4" w:space="0" w:color="auto"/>
              <w:left w:val="single" w:sz="4" w:space="0" w:color="auto"/>
              <w:bottom w:val="single" w:sz="4" w:space="0" w:color="auto"/>
              <w:right w:val="single" w:sz="4" w:space="0" w:color="auto"/>
            </w:tcBorders>
          </w:tcPr>
          <w:p w:rsidR="00810457" w:rsidRDefault="00810457">
            <w:r>
              <w:lastRenderedPageBreak/>
              <w:t>(A) Aylık asgari ücretin 10 katı kadar</w:t>
            </w:r>
          </w:p>
          <w:p w:rsidR="00810457" w:rsidRDefault="00810457"/>
          <w:p w:rsidR="00810457" w:rsidRDefault="00810457">
            <w:r>
              <w:t>(B) Aylık asgari ücretin 50 katı kadar</w:t>
            </w:r>
          </w:p>
          <w:p w:rsidR="00810457" w:rsidRDefault="00810457"/>
          <w:p w:rsidR="00810457" w:rsidRDefault="00810457">
            <w:r>
              <w:t xml:space="preserve">(C) Aylık asgari </w:t>
            </w:r>
            <w:r>
              <w:lastRenderedPageBreak/>
              <w:t>ücretin 100 katı kadar</w:t>
            </w:r>
          </w:p>
        </w:tc>
        <w:tc>
          <w:tcPr>
            <w:tcW w:w="1525" w:type="dxa"/>
            <w:tcBorders>
              <w:top w:val="single" w:sz="4" w:space="0" w:color="auto"/>
              <w:left w:val="single" w:sz="4" w:space="0" w:color="auto"/>
              <w:bottom w:val="single" w:sz="4" w:space="0" w:color="auto"/>
              <w:right w:val="single" w:sz="4" w:space="0" w:color="auto"/>
            </w:tcBorders>
            <w:hideMark/>
          </w:tcPr>
          <w:p w:rsidR="00810457" w:rsidRDefault="00810457">
            <w:r>
              <w:lastRenderedPageBreak/>
              <w:t>24’üncü maddenin (1)’inci fıkrası</w:t>
            </w:r>
          </w:p>
        </w:tc>
      </w:tr>
    </w:tbl>
    <w:p w:rsidR="00810457" w:rsidRDefault="00810457" w:rsidP="00810457">
      <w:r>
        <w:lastRenderedPageBreak/>
        <w:br w:type="page"/>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61"/>
        <w:gridCol w:w="1843"/>
        <w:gridCol w:w="1525"/>
      </w:tblGrid>
      <w:tr w:rsidR="00810457" w:rsidTr="00810457">
        <w:tc>
          <w:tcPr>
            <w:tcW w:w="851" w:type="dxa"/>
            <w:tcBorders>
              <w:top w:val="single" w:sz="4" w:space="0" w:color="auto"/>
              <w:left w:val="single" w:sz="4" w:space="0" w:color="auto"/>
              <w:bottom w:val="single" w:sz="4" w:space="0" w:color="auto"/>
              <w:right w:val="single" w:sz="4" w:space="0" w:color="auto"/>
            </w:tcBorders>
            <w:hideMark/>
          </w:tcPr>
          <w:p w:rsidR="00810457" w:rsidRDefault="00810457">
            <w:r>
              <w:lastRenderedPageBreak/>
              <w:t>26.</w:t>
            </w:r>
          </w:p>
        </w:tc>
        <w:tc>
          <w:tcPr>
            <w:tcW w:w="4961"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Kara sularına yağ, petrol, yağlı sintine veya balast suyu deşarjı  (Bir gemiden diğerine veya herhangi bir tesise transferi veya tahliyesi esnasında veya herhangi bir şekilde gerçekleşen kazalar da dahil)</w:t>
            </w:r>
          </w:p>
          <w:p w:rsidR="00810457" w:rsidRDefault="00810457">
            <w:r>
              <w:t>(A) Tankerler de dahil 1000 gros tondan az gemiler</w:t>
            </w:r>
          </w:p>
          <w:p w:rsidR="00810457" w:rsidRDefault="00810457">
            <w:r>
              <w:t xml:space="preserve">(B) Tankerler de dahil 1000 – 4000 gros ton arası gemiler  </w:t>
            </w:r>
          </w:p>
          <w:p w:rsidR="00810457" w:rsidRDefault="00810457">
            <w:pPr>
              <w:jc w:val="both"/>
              <w:rPr>
                <w:lang w:eastAsia="en-US"/>
              </w:rPr>
            </w:pPr>
            <w:r>
              <w:t>(C) Tankerler de dahil 4000 gros tondan fazla gemiler</w:t>
            </w:r>
          </w:p>
        </w:tc>
        <w:tc>
          <w:tcPr>
            <w:tcW w:w="1843" w:type="dxa"/>
            <w:tcBorders>
              <w:top w:val="single" w:sz="4" w:space="0" w:color="auto"/>
              <w:left w:val="single" w:sz="4" w:space="0" w:color="auto"/>
              <w:bottom w:val="single" w:sz="4" w:space="0" w:color="auto"/>
              <w:right w:val="single" w:sz="4" w:space="0" w:color="auto"/>
            </w:tcBorders>
          </w:tcPr>
          <w:p w:rsidR="00810457" w:rsidRDefault="00810457">
            <w:r>
              <w:t>(A) Aylık asgari ücretin 40 katı kadar</w:t>
            </w:r>
          </w:p>
          <w:p w:rsidR="00810457" w:rsidRDefault="00810457"/>
          <w:p w:rsidR="00810457" w:rsidRDefault="00810457">
            <w:r>
              <w:t>(B) Aylık asgari ücretin 80 katı kadar</w:t>
            </w:r>
          </w:p>
          <w:p w:rsidR="00810457" w:rsidRDefault="00810457"/>
          <w:p w:rsidR="00810457" w:rsidRDefault="00810457">
            <w:r>
              <w:t>(C) Aylık asgari ücretin 100 katı kadar</w:t>
            </w:r>
          </w:p>
        </w:tc>
        <w:tc>
          <w:tcPr>
            <w:tcW w:w="1525" w:type="dxa"/>
            <w:tcBorders>
              <w:top w:val="single" w:sz="4" w:space="0" w:color="auto"/>
              <w:left w:val="single" w:sz="4" w:space="0" w:color="auto"/>
              <w:bottom w:val="single" w:sz="4" w:space="0" w:color="auto"/>
              <w:right w:val="single" w:sz="4" w:space="0" w:color="auto"/>
            </w:tcBorders>
            <w:hideMark/>
          </w:tcPr>
          <w:p w:rsidR="00810457" w:rsidRDefault="00810457">
            <w:r>
              <w:t>24’üncü maddenin (2)’nci fıkrası</w:t>
            </w:r>
          </w:p>
        </w:tc>
      </w:tr>
    </w:tbl>
    <w:p w:rsidR="00810457" w:rsidRDefault="00810457" w:rsidP="00810457"/>
    <w:tbl>
      <w:tblPr>
        <w:tblW w:w="9360" w:type="dxa"/>
        <w:tblInd w:w="-34" w:type="dxa"/>
        <w:tblBorders>
          <w:insideH w:val="nil"/>
          <w:insideV w:val="nil"/>
        </w:tblBorders>
        <w:tblLayout w:type="fixed"/>
        <w:tblLook w:val="00A0" w:firstRow="1" w:lastRow="0" w:firstColumn="1" w:lastColumn="0" w:noHBand="0" w:noVBand="0"/>
      </w:tblPr>
      <w:tblGrid>
        <w:gridCol w:w="1986"/>
        <w:gridCol w:w="567"/>
        <w:gridCol w:w="6807"/>
      </w:tblGrid>
      <w:tr w:rsidR="00810457" w:rsidTr="00810457">
        <w:tc>
          <w:tcPr>
            <w:tcW w:w="1985" w:type="dxa"/>
            <w:tcBorders>
              <w:top w:val="nil"/>
              <w:left w:val="nil"/>
              <w:bottom w:val="nil"/>
              <w:right w:val="nil"/>
            </w:tcBorders>
          </w:tcPr>
          <w:p w:rsidR="00810457" w:rsidRDefault="00810457"/>
        </w:tc>
        <w:tc>
          <w:tcPr>
            <w:tcW w:w="567" w:type="dxa"/>
            <w:tcBorders>
              <w:top w:val="nil"/>
              <w:left w:val="nil"/>
              <w:bottom w:val="nil"/>
              <w:right w:val="nil"/>
            </w:tcBorders>
            <w:hideMark/>
          </w:tcPr>
          <w:p w:rsidR="00810457" w:rsidRDefault="00810457">
            <w:r>
              <w:t>(2)</w:t>
            </w:r>
          </w:p>
        </w:tc>
        <w:tc>
          <w:tcPr>
            <w:tcW w:w="6804" w:type="dxa"/>
            <w:tcBorders>
              <w:top w:val="nil"/>
              <w:left w:val="nil"/>
              <w:bottom w:val="nil"/>
              <w:right w:val="nil"/>
            </w:tcBorders>
            <w:hideMark/>
          </w:tcPr>
          <w:p w:rsidR="00810457" w:rsidRDefault="00810457">
            <w:pPr>
              <w:jc w:val="both"/>
            </w:pPr>
            <w:r>
              <w:t>44’üncü, 45’inci ve 46’ncı satırları kaldırılmak ve yerine aşağıdaki yeni 44A, 44B, 44C, 44Ç, 45A, 45B, 45C, 45Ç, 46A ve 46B satırları konmak suretiyle değiştirilir:</w:t>
            </w:r>
          </w:p>
        </w:tc>
      </w:tr>
    </w:tbl>
    <w:p w:rsidR="00810457" w:rsidRDefault="00810457" w:rsidP="00810457"/>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946"/>
        <w:gridCol w:w="1839"/>
        <w:gridCol w:w="1558"/>
      </w:tblGrid>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44A.</w:t>
            </w:r>
          </w:p>
        </w:tc>
        <w:tc>
          <w:tcPr>
            <w:tcW w:w="4946" w:type="dxa"/>
            <w:tcBorders>
              <w:top w:val="single" w:sz="4" w:space="0" w:color="auto"/>
              <w:left w:val="single" w:sz="4" w:space="0" w:color="auto"/>
              <w:bottom w:val="single" w:sz="4" w:space="0" w:color="auto"/>
              <w:right w:val="single" w:sz="4" w:space="0" w:color="auto"/>
            </w:tcBorders>
          </w:tcPr>
          <w:p w:rsidR="00810457" w:rsidRDefault="00810457">
            <w:pPr>
              <w:jc w:val="both"/>
              <w:rPr>
                <w:lang w:eastAsia="en-US"/>
              </w:rPr>
            </w:pPr>
            <w:r>
              <w:t>Büyük yakma tesisleri ile ilgili çıkarılan tüzüklerin kurallarına aykırı hareket etmek</w:t>
            </w:r>
            <w:r>
              <w:rPr>
                <w:lang w:eastAsia="en-US"/>
              </w:rPr>
              <w:t xml:space="preserve"> </w:t>
            </w:r>
          </w:p>
          <w:p w:rsidR="00810457" w:rsidRDefault="00810457">
            <w:r>
              <w:rPr>
                <w:lang w:eastAsia="en-US"/>
              </w:rPr>
              <w:t xml:space="preserve"> </w:t>
            </w:r>
          </w:p>
          <w:p w:rsidR="00810457" w:rsidRDefault="00810457"/>
        </w:tc>
        <w:tc>
          <w:tcPr>
            <w:tcW w:w="1839" w:type="dxa"/>
            <w:tcBorders>
              <w:top w:val="single" w:sz="4" w:space="0" w:color="auto"/>
              <w:left w:val="single" w:sz="4" w:space="0" w:color="auto"/>
              <w:bottom w:val="single" w:sz="4" w:space="0" w:color="auto"/>
              <w:right w:val="single" w:sz="4" w:space="0" w:color="auto"/>
            </w:tcBorders>
          </w:tcPr>
          <w:p w:rsidR="00810457" w:rsidRDefault="00810457">
            <w:r>
              <w:t xml:space="preserve">Aylık asgari ücretin 50 katı kadar </w:t>
            </w:r>
          </w:p>
          <w:p w:rsidR="00810457" w:rsidRDefault="00810457"/>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36’ncı maddenin (3)’üncü fıkrasının (A) bendi</w:t>
            </w:r>
          </w:p>
        </w:tc>
      </w:tr>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44B.</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Baca gazı sürekli emisyon izleme sistemi kurmamak,  sürekli emisyon izleme sisteminin doğru bir şekilde çalışmasını sağlamamak, bu sistemde meydana gelen arızaları gidermemek ve bu sistemin çalıştırılmasını tüzük kurallarına göre yapmamak</w:t>
            </w:r>
          </w:p>
        </w:tc>
        <w:tc>
          <w:tcPr>
            <w:tcW w:w="1839" w:type="dxa"/>
            <w:tcBorders>
              <w:top w:val="single" w:sz="4" w:space="0" w:color="auto"/>
              <w:left w:val="single" w:sz="4" w:space="0" w:color="auto"/>
              <w:bottom w:val="single" w:sz="4" w:space="0" w:color="auto"/>
              <w:right w:val="single" w:sz="4" w:space="0" w:color="auto"/>
            </w:tcBorders>
            <w:hideMark/>
          </w:tcPr>
          <w:p w:rsidR="00810457" w:rsidRDefault="00810457">
            <w:r>
              <w:t>Aylık asgari ücretin 100 katı kadar</w:t>
            </w:r>
          </w:p>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36’ncı maddenin (3)’üncü fıkrasının (B) bendi</w:t>
            </w:r>
          </w:p>
        </w:tc>
      </w:tr>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44C.</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Baca gazı standartlarını sağlamak amacıyla tesisine baca gazı arıtma donanımı kurmamak, bu donanımın verimli bir şekilde çalışmasını sağlamamak, bu donanımda meydana gelen arızaları gidermemek ve bu donanımın çalıştırılmasını tüzük kurallarına göre yapmamak</w:t>
            </w:r>
          </w:p>
        </w:tc>
        <w:tc>
          <w:tcPr>
            <w:tcW w:w="1839" w:type="dxa"/>
            <w:tcBorders>
              <w:top w:val="single" w:sz="4" w:space="0" w:color="auto"/>
              <w:left w:val="single" w:sz="4" w:space="0" w:color="auto"/>
              <w:bottom w:val="single" w:sz="4" w:space="0" w:color="auto"/>
              <w:right w:val="single" w:sz="4" w:space="0" w:color="auto"/>
            </w:tcBorders>
            <w:hideMark/>
          </w:tcPr>
          <w:p w:rsidR="00810457" w:rsidRDefault="00810457">
            <w:r>
              <w:t>Aylık asgari ücretin 100 katı kadar</w:t>
            </w:r>
          </w:p>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36’ncı maddenin (3)’üncü fıkrasının (C) bendi</w:t>
            </w:r>
          </w:p>
        </w:tc>
      </w:tr>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44Ç.</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Emisyon sınır değerlerini sağlamamak</w:t>
            </w:r>
          </w:p>
        </w:tc>
        <w:tc>
          <w:tcPr>
            <w:tcW w:w="1839" w:type="dxa"/>
            <w:tcBorders>
              <w:top w:val="single" w:sz="4" w:space="0" w:color="auto"/>
              <w:left w:val="single" w:sz="4" w:space="0" w:color="auto"/>
              <w:bottom w:val="single" w:sz="4" w:space="0" w:color="auto"/>
              <w:right w:val="single" w:sz="4" w:space="0" w:color="auto"/>
            </w:tcBorders>
            <w:hideMark/>
          </w:tcPr>
          <w:p w:rsidR="00810457" w:rsidRDefault="00810457">
            <w:r>
              <w:t>Aylık asgari ücretin 100 katı kadar</w:t>
            </w:r>
          </w:p>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36’ncı maddenin (3)’üncü fıkrasının (Ç) bendi</w:t>
            </w:r>
          </w:p>
        </w:tc>
      </w:tr>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45A.</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Atık yakma tesisleri ile ilgili çıkarılan tüzüklerin kurallarına aykırı hareket etmek</w:t>
            </w:r>
          </w:p>
        </w:tc>
        <w:tc>
          <w:tcPr>
            <w:tcW w:w="1839" w:type="dxa"/>
            <w:tcBorders>
              <w:top w:val="single" w:sz="4" w:space="0" w:color="auto"/>
              <w:left w:val="single" w:sz="4" w:space="0" w:color="auto"/>
              <w:bottom w:val="single" w:sz="4" w:space="0" w:color="auto"/>
              <w:right w:val="single" w:sz="4" w:space="0" w:color="auto"/>
            </w:tcBorders>
          </w:tcPr>
          <w:p w:rsidR="00810457" w:rsidRDefault="00810457">
            <w:r>
              <w:t xml:space="preserve">Aylık asgari ücretin 50 katı kadar </w:t>
            </w:r>
          </w:p>
          <w:p w:rsidR="00810457" w:rsidRDefault="00810457"/>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36’ncı maddenin (4)’üncü fıkrasının (A) bendi</w:t>
            </w:r>
          </w:p>
        </w:tc>
      </w:tr>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45B.</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Baca gazı sürekli emisyon izleme sistemi kurmamak,  sürekli emisyon izleme sisteminin doğru bir şekilde çalışmasını sağlamamak, bu sistemde meydana gelen arızaları gidermemek ve bu sistemin çalıştırılmasını tüzük kurallarına göre yapmamak</w:t>
            </w:r>
          </w:p>
        </w:tc>
        <w:tc>
          <w:tcPr>
            <w:tcW w:w="1839" w:type="dxa"/>
            <w:tcBorders>
              <w:top w:val="single" w:sz="4" w:space="0" w:color="auto"/>
              <w:left w:val="single" w:sz="4" w:space="0" w:color="auto"/>
              <w:bottom w:val="single" w:sz="4" w:space="0" w:color="auto"/>
              <w:right w:val="single" w:sz="4" w:space="0" w:color="auto"/>
            </w:tcBorders>
            <w:hideMark/>
          </w:tcPr>
          <w:p w:rsidR="00810457" w:rsidRDefault="00810457">
            <w:r>
              <w:t>Aylık asgari ücretin 100 katı kadar</w:t>
            </w:r>
          </w:p>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36’ncı maddenin (4)’üncü fıkrasının (B) bendi</w:t>
            </w:r>
          </w:p>
        </w:tc>
      </w:tr>
    </w:tbl>
    <w:p w:rsidR="00810457" w:rsidRDefault="00810457" w:rsidP="00810457">
      <w: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946"/>
        <w:gridCol w:w="1839"/>
        <w:gridCol w:w="1558"/>
      </w:tblGrid>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lastRenderedPageBreak/>
              <w:t>45C.</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Baca gazı standartlarını sağlamak amacıyla tesisine baca gazı arıtma donanımı kurmamak, bu donanımın verimli bir şekilde çalışmasını sağlamamak, bu donanımda meydana gelen arızaları gidermemek ve bu donanımın çalıştırılmasını tüzük kurallarına göre yapmamak</w:t>
            </w:r>
          </w:p>
        </w:tc>
        <w:tc>
          <w:tcPr>
            <w:tcW w:w="1839" w:type="dxa"/>
            <w:tcBorders>
              <w:top w:val="single" w:sz="4" w:space="0" w:color="auto"/>
              <w:left w:val="single" w:sz="4" w:space="0" w:color="auto"/>
              <w:bottom w:val="single" w:sz="4" w:space="0" w:color="auto"/>
              <w:right w:val="single" w:sz="4" w:space="0" w:color="auto"/>
            </w:tcBorders>
            <w:hideMark/>
          </w:tcPr>
          <w:p w:rsidR="00810457" w:rsidRDefault="00810457">
            <w:r>
              <w:t>Aylık asgari ücretin 100 katı kadar</w:t>
            </w:r>
          </w:p>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36’ncı maddenin (4)’üncü fıkrasının (C) bendi</w:t>
            </w:r>
          </w:p>
        </w:tc>
      </w:tr>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45Ç.</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Emisyon sınır değerlerini sağlamamak</w:t>
            </w:r>
          </w:p>
        </w:tc>
        <w:tc>
          <w:tcPr>
            <w:tcW w:w="1839" w:type="dxa"/>
            <w:tcBorders>
              <w:top w:val="single" w:sz="4" w:space="0" w:color="auto"/>
              <w:left w:val="single" w:sz="4" w:space="0" w:color="auto"/>
              <w:bottom w:val="single" w:sz="4" w:space="0" w:color="auto"/>
              <w:right w:val="single" w:sz="4" w:space="0" w:color="auto"/>
            </w:tcBorders>
          </w:tcPr>
          <w:p w:rsidR="00810457" w:rsidRDefault="00810457">
            <w:r>
              <w:t>Aylık asgari ücretin 100 katı kadar</w:t>
            </w:r>
          </w:p>
          <w:p w:rsidR="00810457" w:rsidRDefault="00810457"/>
          <w:p w:rsidR="00810457" w:rsidRDefault="00810457"/>
          <w:p w:rsidR="00810457" w:rsidRDefault="00810457"/>
        </w:tc>
        <w:tc>
          <w:tcPr>
            <w:tcW w:w="1558" w:type="dxa"/>
            <w:tcBorders>
              <w:top w:val="single" w:sz="4" w:space="0" w:color="auto"/>
              <w:left w:val="single" w:sz="4" w:space="0" w:color="auto"/>
              <w:bottom w:val="single" w:sz="4" w:space="0" w:color="auto"/>
              <w:right w:val="single" w:sz="4" w:space="0" w:color="auto"/>
            </w:tcBorders>
          </w:tcPr>
          <w:p w:rsidR="00810457" w:rsidRDefault="00810457">
            <w:r>
              <w:t>36’ncı maddenin (4)’üncü fıkrasının (Ç) bendi</w:t>
            </w:r>
          </w:p>
          <w:p w:rsidR="00810457" w:rsidRDefault="00810457"/>
          <w:p w:rsidR="00810457" w:rsidRDefault="00810457"/>
        </w:tc>
      </w:tr>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46A.</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Uçucu organik bileşiklerin emisyonlarını azaltmak için çözücüler kullanan tesisler ile ilgili çıkarılan tüzük kurallarına aykırı hareket etmek</w:t>
            </w:r>
          </w:p>
        </w:tc>
        <w:tc>
          <w:tcPr>
            <w:tcW w:w="1839" w:type="dxa"/>
            <w:tcBorders>
              <w:top w:val="single" w:sz="4" w:space="0" w:color="auto"/>
              <w:left w:val="single" w:sz="4" w:space="0" w:color="auto"/>
              <w:bottom w:val="single" w:sz="4" w:space="0" w:color="auto"/>
              <w:right w:val="single" w:sz="4" w:space="0" w:color="auto"/>
            </w:tcBorders>
            <w:hideMark/>
          </w:tcPr>
          <w:p w:rsidR="00810457" w:rsidRDefault="00810457">
            <w:r>
              <w:t>Aylık asgari ücret kadar</w:t>
            </w:r>
          </w:p>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36’ncı maddenin (5)’inci fıkrası</w:t>
            </w:r>
          </w:p>
        </w:tc>
      </w:tr>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46B.</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(A)Petrol depolama, yükleme veya boşaltımından kaynaklanan uçucu organik bileşik salınımlarının kontrolüne yönelik tüzük kurallarına aykırı hareket etmek</w:t>
            </w:r>
          </w:p>
          <w:p w:rsidR="00810457" w:rsidRDefault="00810457">
            <w:pPr>
              <w:jc w:val="both"/>
            </w:pPr>
            <w:r>
              <w:t>(B)Motorlu araçların akaryakıt istasyonlarında yakıt ikmali yaparken uçucu organik bileşiklerinin emisyonunun izlenmesine ilişkin tüzük kurallarına aykırı hareket etmek</w:t>
            </w:r>
          </w:p>
        </w:tc>
        <w:tc>
          <w:tcPr>
            <w:tcW w:w="1839" w:type="dxa"/>
            <w:tcBorders>
              <w:top w:val="single" w:sz="4" w:space="0" w:color="auto"/>
              <w:left w:val="single" w:sz="4" w:space="0" w:color="auto"/>
              <w:bottom w:val="single" w:sz="4" w:space="0" w:color="auto"/>
              <w:right w:val="single" w:sz="4" w:space="0" w:color="auto"/>
            </w:tcBorders>
          </w:tcPr>
          <w:p w:rsidR="00810457" w:rsidRDefault="00810457">
            <w:r>
              <w:t>(A)Aylık asgari ücretin 20 katı kadar</w:t>
            </w:r>
          </w:p>
          <w:p w:rsidR="00810457" w:rsidRDefault="00810457"/>
          <w:p w:rsidR="00810457" w:rsidRDefault="00810457">
            <w:r>
              <w:t>(B) Aylık asgari ücret kadar</w:t>
            </w:r>
          </w:p>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36’ncı maddenin (6)’ıncı fıkrasının (A) ve (B) bendleri</w:t>
            </w:r>
          </w:p>
        </w:tc>
      </w:tr>
    </w:tbl>
    <w:p w:rsidR="00810457" w:rsidRDefault="00810457" w:rsidP="00810457"/>
    <w:tbl>
      <w:tblPr>
        <w:tblW w:w="9360" w:type="dxa"/>
        <w:tblInd w:w="-34" w:type="dxa"/>
        <w:tblBorders>
          <w:insideH w:val="nil"/>
          <w:insideV w:val="nil"/>
        </w:tblBorders>
        <w:tblLayout w:type="fixed"/>
        <w:tblLook w:val="00A0" w:firstRow="1" w:lastRow="0" w:firstColumn="1" w:lastColumn="0" w:noHBand="0" w:noVBand="0"/>
      </w:tblPr>
      <w:tblGrid>
        <w:gridCol w:w="1986"/>
        <w:gridCol w:w="567"/>
        <w:gridCol w:w="6807"/>
      </w:tblGrid>
      <w:tr w:rsidR="00810457" w:rsidTr="00810457">
        <w:tc>
          <w:tcPr>
            <w:tcW w:w="1985" w:type="dxa"/>
            <w:tcBorders>
              <w:top w:val="nil"/>
              <w:left w:val="nil"/>
              <w:bottom w:val="nil"/>
              <w:right w:val="nil"/>
            </w:tcBorders>
          </w:tcPr>
          <w:p w:rsidR="00810457" w:rsidRDefault="00810457"/>
        </w:tc>
        <w:tc>
          <w:tcPr>
            <w:tcW w:w="567" w:type="dxa"/>
            <w:tcBorders>
              <w:top w:val="nil"/>
              <w:left w:val="nil"/>
              <w:bottom w:val="nil"/>
              <w:right w:val="nil"/>
            </w:tcBorders>
            <w:hideMark/>
          </w:tcPr>
          <w:p w:rsidR="00810457" w:rsidRDefault="00810457">
            <w:r>
              <w:t>(3)</w:t>
            </w:r>
          </w:p>
        </w:tc>
        <w:tc>
          <w:tcPr>
            <w:tcW w:w="6804" w:type="dxa"/>
            <w:tcBorders>
              <w:top w:val="nil"/>
              <w:left w:val="nil"/>
              <w:bottom w:val="nil"/>
              <w:right w:val="nil"/>
            </w:tcBorders>
            <w:hideMark/>
          </w:tcPr>
          <w:p w:rsidR="00810457" w:rsidRDefault="00810457">
            <w:pPr>
              <w:jc w:val="both"/>
            </w:pPr>
            <w:r>
              <w:t>65’inci satırından sonra aşağıdaki yeni 65A satırı konmak suretiyle değiştirilir:</w:t>
            </w:r>
          </w:p>
        </w:tc>
      </w:tr>
    </w:tbl>
    <w:p w:rsidR="00810457" w:rsidRDefault="00810457" w:rsidP="00810457">
      <w:pPr>
        <w:rPr>
          <w:color w:val="FF000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
        <w:gridCol w:w="4946"/>
        <w:gridCol w:w="1839"/>
        <w:gridCol w:w="1558"/>
      </w:tblGrid>
      <w:tr w:rsidR="00810457" w:rsidTr="00810457">
        <w:tc>
          <w:tcPr>
            <w:tcW w:w="1013" w:type="dxa"/>
            <w:tcBorders>
              <w:top w:val="single" w:sz="4" w:space="0" w:color="auto"/>
              <w:left w:val="single" w:sz="4" w:space="0" w:color="auto"/>
              <w:bottom w:val="single" w:sz="4" w:space="0" w:color="auto"/>
              <w:right w:val="single" w:sz="4" w:space="0" w:color="auto"/>
            </w:tcBorders>
            <w:hideMark/>
          </w:tcPr>
          <w:p w:rsidR="00810457" w:rsidRDefault="00810457">
            <w:r>
              <w:t>65A.</w:t>
            </w:r>
          </w:p>
        </w:tc>
        <w:tc>
          <w:tcPr>
            <w:tcW w:w="4946" w:type="dxa"/>
            <w:tcBorders>
              <w:top w:val="single" w:sz="4" w:space="0" w:color="auto"/>
              <w:left w:val="single" w:sz="4" w:space="0" w:color="auto"/>
              <w:bottom w:val="single" w:sz="4" w:space="0" w:color="auto"/>
              <w:right w:val="single" w:sz="4" w:space="0" w:color="auto"/>
            </w:tcBorders>
            <w:hideMark/>
          </w:tcPr>
          <w:p w:rsidR="00810457" w:rsidRDefault="00810457">
            <w:pPr>
              <w:jc w:val="both"/>
            </w:pPr>
            <w:r>
              <w:t>Kişilerin huzurunu ve sükununu ve/veya bedensel ve duygusal sağlığını bozacak şekilde gürültü yapmak</w:t>
            </w:r>
          </w:p>
        </w:tc>
        <w:tc>
          <w:tcPr>
            <w:tcW w:w="1839" w:type="dxa"/>
            <w:tcBorders>
              <w:top w:val="single" w:sz="4" w:space="0" w:color="auto"/>
              <w:left w:val="single" w:sz="4" w:space="0" w:color="auto"/>
              <w:bottom w:val="single" w:sz="4" w:space="0" w:color="auto"/>
              <w:right w:val="single" w:sz="4" w:space="0" w:color="auto"/>
            </w:tcBorders>
            <w:hideMark/>
          </w:tcPr>
          <w:p w:rsidR="00810457" w:rsidRDefault="00810457">
            <w:r>
              <w:t>Aylık asgari ücretin ½’si kadar</w:t>
            </w:r>
          </w:p>
        </w:tc>
        <w:tc>
          <w:tcPr>
            <w:tcW w:w="1558" w:type="dxa"/>
            <w:tcBorders>
              <w:top w:val="single" w:sz="4" w:space="0" w:color="auto"/>
              <w:left w:val="single" w:sz="4" w:space="0" w:color="auto"/>
              <w:bottom w:val="single" w:sz="4" w:space="0" w:color="auto"/>
              <w:right w:val="single" w:sz="4" w:space="0" w:color="auto"/>
            </w:tcBorders>
            <w:hideMark/>
          </w:tcPr>
          <w:p w:rsidR="00810457" w:rsidRDefault="00810457">
            <w:r>
              <w:t>56’ncı maddenin (1)’inci fıkrası</w:t>
            </w:r>
          </w:p>
        </w:tc>
      </w:tr>
    </w:tbl>
    <w:p w:rsidR="00810457" w:rsidRDefault="00810457" w:rsidP="00810457"/>
    <w:tbl>
      <w:tblPr>
        <w:tblW w:w="0" w:type="auto"/>
        <w:tblLayout w:type="fixed"/>
        <w:tblLook w:val="04A0" w:firstRow="1" w:lastRow="0" w:firstColumn="1" w:lastColumn="0" w:noHBand="0" w:noVBand="1"/>
      </w:tblPr>
      <w:tblGrid>
        <w:gridCol w:w="1908"/>
        <w:gridCol w:w="7380"/>
      </w:tblGrid>
      <w:tr w:rsidR="00810457" w:rsidTr="00810457">
        <w:tc>
          <w:tcPr>
            <w:tcW w:w="1908" w:type="dxa"/>
          </w:tcPr>
          <w:p w:rsidR="00810457" w:rsidRDefault="00810457">
            <w:r>
              <w:t>Geçici Madde</w:t>
            </w:r>
          </w:p>
          <w:p w:rsidR="00810457" w:rsidRDefault="00810457">
            <w:r>
              <w:t>Kamu Kurumu Tarafından İşletilen Büyük Yakma Tesislerinin Durumu</w:t>
            </w:r>
          </w:p>
          <w:p w:rsidR="00810457" w:rsidRDefault="00810457"/>
        </w:tc>
        <w:tc>
          <w:tcPr>
            <w:tcW w:w="7380" w:type="dxa"/>
          </w:tcPr>
          <w:p w:rsidR="00810457" w:rsidRDefault="00810457">
            <w:pPr>
              <w:jc w:val="both"/>
            </w:pPr>
            <w:r>
              <w:t>1. Bu Değişiklik Yasası ile değiştirilen Esas Yasanın 36’ncı maddesinin (3)’üncü fıkrası ile getirilen yükümlülükler, büyük yakma tesisinin kamu kurumu tarafından işletilmesi halinde ve kurumun baca gazı emisyon değerlerini düşürmeye yönelik yatırıma 1 yıl içerisinde başlaması şartıyla, bu Değişiklik Yasasının yürürlüğe girdiği tarihten 3 yıl sonra başlar.</w:t>
            </w:r>
          </w:p>
          <w:p w:rsidR="00810457" w:rsidRDefault="00810457">
            <w:pPr>
              <w:jc w:val="both"/>
            </w:pPr>
          </w:p>
          <w:p w:rsidR="00810457" w:rsidRDefault="00810457">
            <w:pPr>
              <w:jc w:val="both"/>
            </w:pPr>
          </w:p>
        </w:tc>
      </w:tr>
      <w:tr w:rsidR="00810457" w:rsidTr="00810457">
        <w:tc>
          <w:tcPr>
            <w:tcW w:w="1908" w:type="dxa"/>
            <w:hideMark/>
          </w:tcPr>
          <w:p w:rsidR="00810457" w:rsidRDefault="00810457">
            <w:r>
              <w:t>Yürürlüğe Giriş</w:t>
            </w:r>
          </w:p>
        </w:tc>
        <w:tc>
          <w:tcPr>
            <w:tcW w:w="7380" w:type="dxa"/>
          </w:tcPr>
          <w:p w:rsidR="00810457" w:rsidRDefault="00810457">
            <w:pPr>
              <w:jc w:val="both"/>
            </w:pPr>
            <w:r>
              <w:t xml:space="preserve">4. Bu Yasa, Resmi Gazete’de yayımlandığı tarihten başlayarak yürürlüğe girer. </w:t>
            </w:r>
          </w:p>
          <w:p w:rsidR="00810457" w:rsidRDefault="00810457">
            <w:pPr>
              <w:jc w:val="both"/>
            </w:pPr>
          </w:p>
          <w:p w:rsidR="00810457" w:rsidRDefault="00810457">
            <w:pPr>
              <w:jc w:val="both"/>
            </w:pPr>
          </w:p>
        </w:tc>
      </w:tr>
    </w:tbl>
    <w:p w:rsidR="00810457" w:rsidRDefault="00810457" w:rsidP="00810457">
      <w:pPr>
        <w:jc w:val="both"/>
      </w:pPr>
    </w:p>
    <w:p w:rsidR="00810457" w:rsidRDefault="00810457" w:rsidP="00810457">
      <w:pPr>
        <w:rPr>
          <w:color w:val="FF0000"/>
        </w:rPr>
      </w:pPr>
    </w:p>
    <w:p w:rsidR="001F3566" w:rsidRDefault="001F3566"/>
    <w:sectPr w:rsidR="001F3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B1"/>
    <w:rsid w:val="00060EB1"/>
    <w:rsid w:val="001F3566"/>
    <w:rsid w:val="002326B2"/>
    <w:rsid w:val="008104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5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457"/>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01978">
      <w:bodyDiv w:val="1"/>
      <w:marLeft w:val="0"/>
      <w:marRight w:val="0"/>
      <w:marTop w:val="0"/>
      <w:marBottom w:val="0"/>
      <w:divBdr>
        <w:top w:val="none" w:sz="0" w:space="0" w:color="auto"/>
        <w:left w:val="none" w:sz="0" w:space="0" w:color="auto"/>
        <w:bottom w:val="none" w:sz="0" w:space="0" w:color="auto"/>
        <w:right w:val="none" w:sz="0" w:space="0" w:color="auto"/>
      </w:divBdr>
    </w:div>
    <w:div w:id="165598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1339</Words>
  <Characters>7635</Characters>
  <Application>Microsoft Office Word</Application>
  <DocSecurity>0</DocSecurity>
  <Lines>63</Lines>
  <Paragraphs>17</Paragraphs>
  <ScaleCrop>false</ScaleCrop>
  <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Nedret Beyaz</dc:creator>
  <cp:keywords/>
  <dc:description/>
  <cp:lastModifiedBy>Nedret Beyaz</cp:lastModifiedBy>
  <cp:revision>3</cp:revision>
  <dcterms:created xsi:type="dcterms:W3CDTF">2020-08-12T10:02:00Z</dcterms:created>
  <dcterms:modified xsi:type="dcterms:W3CDTF">2020-08-12T10:26:00Z</dcterms:modified>
</cp:coreProperties>
</file>