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BAC99" w14:textId="7E3AAD53" w:rsidR="00DB6D89" w:rsidRPr="00DB6D89" w:rsidRDefault="00DB6D89" w:rsidP="00DB6D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D89">
        <w:rPr>
          <w:rFonts w:ascii="Times New Roman" w:eastAsia="Calibri" w:hAnsi="Times New Roman" w:cs="Times New Roman"/>
          <w:sz w:val="24"/>
          <w:szCs w:val="24"/>
        </w:rPr>
        <w:t>Kuzey Kıbrıs Türk Cumhuriyeti Cumhuriyet Meclisi’nin 25 Mart 2024 tarihli Kırkbeşinci Birleşiminde Oybirliğiyle kabul olunan “</w:t>
      </w:r>
      <w:r w:rsidRPr="00DB6D8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osyal Güvenlik </w:t>
      </w:r>
      <w:r w:rsidRPr="00DB6D89">
        <w:rPr>
          <w:rFonts w:ascii="Times New Roman" w:eastAsia="Calibri" w:hAnsi="Times New Roman" w:cs="Times New Roman"/>
          <w:sz w:val="24"/>
          <w:szCs w:val="24"/>
        </w:rPr>
        <w:t>(Değişiklik) Yasası</w:t>
      </w:r>
      <w:r w:rsidRPr="00DB6D89">
        <w:rPr>
          <w:rFonts w:ascii="Times New Roman" w:eastAsia="Calibri" w:hAnsi="Times New Roman" w:cs="Times New Roman"/>
          <w:sz w:val="24"/>
          <w:szCs w:val="24"/>
        </w:rPr>
        <w:t>” Anayasanın 94’üncü maddesinin (1)’inci fıkrası gereğince Kuzey Kıbrıs Türk Cumhuriyeti Cumhurbaşkanı tarafından Resmi Gazete’de yayımlanmak suretiyle ilan olunur.</w:t>
      </w:r>
    </w:p>
    <w:p w14:paraId="483778F2" w14:textId="77777777" w:rsidR="00DB6D89" w:rsidRDefault="00DB6D89" w:rsidP="00BC5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019320A" w14:textId="6D907A57" w:rsidR="00DB6D89" w:rsidRDefault="00DB6D89" w:rsidP="00BC5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Sayı: 22/2024</w:t>
      </w:r>
    </w:p>
    <w:p w14:paraId="5AEDBDA0" w14:textId="77777777" w:rsidR="00DB6D89" w:rsidRDefault="00DB6D89" w:rsidP="00BC5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4D88BB9" w14:textId="720A3063" w:rsidR="008143F2" w:rsidRPr="008F1950" w:rsidRDefault="007B7487" w:rsidP="00BC5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F1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SOSYAL</w:t>
      </w:r>
      <w:r w:rsidR="00F604C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747FE" w:rsidRPr="008F1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GÜVENLİK</w:t>
      </w:r>
      <w:r w:rsidR="00753350" w:rsidRPr="008F1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F1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(DEĞİŞİKLİK) YASA</w:t>
      </w:r>
      <w:r w:rsidR="008143F2" w:rsidRPr="008F19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</w:t>
      </w:r>
    </w:p>
    <w:p w14:paraId="25BAC444" w14:textId="77777777" w:rsidR="007B7487" w:rsidRPr="008F1950" w:rsidRDefault="007B7487" w:rsidP="00BC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</w:p>
    <w:p w14:paraId="0908255F" w14:textId="77777777" w:rsidR="00BC3673" w:rsidRPr="008F1950" w:rsidRDefault="00BC3673" w:rsidP="00BC5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80" w:rightFromText="180" w:bottomFromText="200" w:vertAnchor="text" w:horzAnchor="margin" w:tblpX="-72" w:tblpY="1"/>
        <w:tblW w:w="9624" w:type="dxa"/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5812"/>
        <w:gridCol w:w="18"/>
      </w:tblGrid>
      <w:tr w:rsidR="007B7487" w:rsidRPr="008F1950" w14:paraId="3CFE9F32" w14:textId="77777777" w:rsidTr="00F604C3">
        <w:trPr>
          <w:gridAfter w:val="1"/>
          <w:wAfter w:w="18" w:type="dxa"/>
          <w:trHeight w:val="655"/>
        </w:trPr>
        <w:tc>
          <w:tcPr>
            <w:tcW w:w="1809" w:type="dxa"/>
          </w:tcPr>
          <w:p w14:paraId="188E57A0" w14:textId="77777777" w:rsidR="007B7487" w:rsidRPr="008F1950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27C44BC0" w14:textId="77777777" w:rsidR="007B7487" w:rsidRPr="008F1950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hideMark/>
          </w:tcPr>
          <w:p w14:paraId="5E2A1B40" w14:textId="77777777" w:rsidR="007B7487" w:rsidRDefault="00A7706F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B7487" w:rsidRPr="008F1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Kuzey Kıbrıs Türk Cumhuriyeti Cumhuriyet Meclisi aşağıdaki Yasayı yapar: </w:t>
            </w:r>
          </w:p>
          <w:p w14:paraId="309AC830" w14:textId="05EE1E10" w:rsidR="00F604C3" w:rsidRPr="008F1950" w:rsidRDefault="00F604C3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487" w:rsidRPr="008F1950" w14:paraId="7ABD79F9" w14:textId="77777777" w:rsidTr="00010B5B">
        <w:trPr>
          <w:gridAfter w:val="1"/>
          <w:wAfter w:w="18" w:type="dxa"/>
          <w:trHeight w:val="3712"/>
        </w:trPr>
        <w:tc>
          <w:tcPr>
            <w:tcW w:w="1809" w:type="dxa"/>
            <w:hideMark/>
          </w:tcPr>
          <w:p w14:paraId="0F2E1F21" w14:textId="77777777" w:rsidR="007B7487" w:rsidRPr="008F1950" w:rsidRDefault="007B7487" w:rsidP="0017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Kısa İsim</w:t>
            </w:r>
          </w:p>
          <w:p w14:paraId="4F1D6027" w14:textId="77777777" w:rsidR="00D747FE" w:rsidRPr="008F1950" w:rsidRDefault="00D747FE" w:rsidP="00D74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0">
              <w:rPr>
                <w:rFonts w:ascii="Times New Roman" w:hAnsi="Times New Roman" w:cs="Times New Roman"/>
                <w:sz w:val="24"/>
                <w:szCs w:val="24"/>
              </w:rPr>
              <w:t>73/2007</w:t>
            </w:r>
          </w:p>
          <w:p w14:paraId="34FE9561" w14:textId="77777777" w:rsidR="00D747FE" w:rsidRPr="008F1950" w:rsidRDefault="00D747FE" w:rsidP="00D74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0">
              <w:rPr>
                <w:rFonts w:ascii="Times New Roman" w:hAnsi="Times New Roman" w:cs="Times New Roman"/>
                <w:sz w:val="24"/>
                <w:szCs w:val="24"/>
              </w:rPr>
              <w:t xml:space="preserve">   80/2009</w:t>
            </w:r>
          </w:p>
          <w:p w14:paraId="25B58295" w14:textId="77777777" w:rsidR="00D747FE" w:rsidRPr="008F1950" w:rsidRDefault="00D747FE" w:rsidP="00D74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0">
              <w:rPr>
                <w:rFonts w:ascii="Times New Roman" w:hAnsi="Times New Roman" w:cs="Times New Roman"/>
                <w:sz w:val="24"/>
                <w:szCs w:val="24"/>
              </w:rPr>
              <w:t xml:space="preserve">     4/2010</w:t>
            </w:r>
          </w:p>
          <w:p w14:paraId="3F5F4786" w14:textId="77777777" w:rsidR="00D747FE" w:rsidRPr="008F1950" w:rsidRDefault="00D747FE" w:rsidP="00D74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0">
              <w:rPr>
                <w:rFonts w:ascii="Times New Roman" w:hAnsi="Times New Roman" w:cs="Times New Roman"/>
                <w:sz w:val="24"/>
                <w:szCs w:val="24"/>
              </w:rPr>
              <w:t xml:space="preserve">     5/2012</w:t>
            </w:r>
          </w:p>
          <w:p w14:paraId="4547BEC4" w14:textId="77777777" w:rsidR="00D747FE" w:rsidRPr="008F1950" w:rsidRDefault="00D747FE" w:rsidP="00D74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0">
              <w:rPr>
                <w:rFonts w:ascii="Times New Roman" w:hAnsi="Times New Roman" w:cs="Times New Roman"/>
                <w:sz w:val="24"/>
                <w:szCs w:val="24"/>
              </w:rPr>
              <w:t xml:space="preserve">   26/2013</w:t>
            </w:r>
          </w:p>
          <w:p w14:paraId="6C6E2BEF" w14:textId="77777777" w:rsidR="00D747FE" w:rsidRPr="008F1950" w:rsidRDefault="00D747FE" w:rsidP="00D74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0">
              <w:rPr>
                <w:rFonts w:ascii="Times New Roman" w:hAnsi="Times New Roman" w:cs="Times New Roman"/>
                <w:sz w:val="24"/>
                <w:szCs w:val="24"/>
              </w:rPr>
              <w:t xml:space="preserve">   36/2015</w:t>
            </w:r>
          </w:p>
          <w:p w14:paraId="59985BA5" w14:textId="77777777" w:rsidR="00D747FE" w:rsidRPr="008F1950" w:rsidRDefault="00D747FE" w:rsidP="00D74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0">
              <w:rPr>
                <w:rFonts w:ascii="Times New Roman" w:hAnsi="Times New Roman" w:cs="Times New Roman"/>
                <w:sz w:val="24"/>
                <w:szCs w:val="24"/>
              </w:rPr>
              <w:t xml:space="preserve">   28/2017</w:t>
            </w:r>
          </w:p>
          <w:p w14:paraId="4500B177" w14:textId="77777777" w:rsidR="00D747FE" w:rsidRPr="008F1950" w:rsidRDefault="00D747FE" w:rsidP="00D74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0">
              <w:rPr>
                <w:rFonts w:ascii="Times New Roman" w:hAnsi="Times New Roman" w:cs="Times New Roman"/>
                <w:sz w:val="24"/>
                <w:szCs w:val="24"/>
              </w:rPr>
              <w:t xml:space="preserve">   31/2017</w:t>
            </w:r>
          </w:p>
          <w:p w14:paraId="46A50AFB" w14:textId="77777777" w:rsidR="00D747FE" w:rsidRPr="008F1950" w:rsidRDefault="00D747FE" w:rsidP="00D74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0">
              <w:rPr>
                <w:rFonts w:ascii="Times New Roman" w:hAnsi="Times New Roman" w:cs="Times New Roman"/>
                <w:sz w:val="24"/>
                <w:szCs w:val="24"/>
              </w:rPr>
              <w:t xml:space="preserve">   10/2019</w:t>
            </w:r>
          </w:p>
          <w:p w14:paraId="34273565" w14:textId="77777777" w:rsidR="00623B3F" w:rsidRPr="008F1950" w:rsidRDefault="00D747FE" w:rsidP="00D74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0">
              <w:rPr>
                <w:rFonts w:ascii="Times New Roman" w:hAnsi="Times New Roman" w:cs="Times New Roman"/>
                <w:sz w:val="24"/>
                <w:szCs w:val="24"/>
              </w:rPr>
              <w:t xml:space="preserve">     6/2020</w:t>
            </w:r>
          </w:p>
          <w:p w14:paraId="43335F37" w14:textId="77777777" w:rsidR="00D747FE" w:rsidRDefault="00D747FE" w:rsidP="00D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25/2023</w:t>
            </w:r>
          </w:p>
          <w:p w14:paraId="05EB9329" w14:textId="099D2D12" w:rsidR="00010B5B" w:rsidRPr="008F1950" w:rsidRDefault="00010B5B" w:rsidP="00D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14:paraId="39793A47" w14:textId="37985E47" w:rsidR="007B7487" w:rsidRPr="00295E8B" w:rsidRDefault="00295E8B" w:rsidP="00DB6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B7487" w:rsidRPr="0029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 Yasa, </w:t>
            </w:r>
            <w:bookmarkStart w:id="0" w:name="_GoBack"/>
            <w:bookmarkEnd w:id="0"/>
            <w:r w:rsidR="007B7487" w:rsidRPr="0029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Sosyal </w:t>
            </w:r>
            <w:r w:rsidR="00D747FE" w:rsidRPr="0029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Güvenlik </w:t>
            </w:r>
            <w:r w:rsidR="007B7487" w:rsidRPr="0029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(Değişiklik) Yasası olarak isimlendirilir ve aşağıda “Esas Yasa” olarak anılan  Sosyal </w:t>
            </w:r>
            <w:r w:rsidR="00D747FE" w:rsidRPr="0029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Güvenlik </w:t>
            </w:r>
            <w:r w:rsidR="007B7487" w:rsidRPr="0029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Yasası ile birlikte okunur.</w:t>
            </w:r>
          </w:p>
        </w:tc>
      </w:tr>
      <w:tr w:rsidR="00E458F4" w:rsidRPr="008F1950" w14:paraId="7445E62C" w14:textId="77777777" w:rsidTr="00F604C3">
        <w:trPr>
          <w:trHeight w:val="765"/>
        </w:trPr>
        <w:tc>
          <w:tcPr>
            <w:tcW w:w="1809" w:type="dxa"/>
            <w:hideMark/>
          </w:tcPr>
          <w:p w14:paraId="4F0D66CB" w14:textId="5246A4A3" w:rsidR="00E458F4" w:rsidRPr="008F1950" w:rsidRDefault="00F604C3" w:rsidP="00F604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1" w:name="_Hlk152245056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Esas Yasaya Yeni Geçici 10’uncu </w:t>
            </w:r>
          </w:p>
        </w:tc>
        <w:tc>
          <w:tcPr>
            <w:tcW w:w="7815" w:type="dxa"/>
            <w:gridSpan w:val="3"/>
            <w:hideMark/>
          </w:tcPr>
          <w:p w14:paraId="502D4892" w14:textId="4A2CFB9F" w:rsidR="00E458F4" w:rsidRPr="008F1950" w:rsidRDefault="00D50323" w:rsidP="00F60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E458F4" w:rsidRPr="008F1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Esas Yasa</w:t>
            </w:r>
            <w:r w:rsidR="0029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Geçici 9’uncu M</w:t>
            </w:r>
            <w:r w:rsidR="00F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addesinden hemen sonra aşağıdaki yeni Geçici 10’uncu </w:t>
            </w:r>
            <w:r w:rsidR="00295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="00D47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adde </w:t>
            </w:r>
            <w:r w:rsidR="00F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eklenmek suretiyle değiştirilir:</w:t>
            </w:r>
            <w:r w:rsidR="00E458F4" w:rsidRPr="008F1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bookmarkEnd w:id="1"/>
      <w:tr w:rsidR="0007310F" w:rsidRPr="00F604C3" w14:paraId="4AC64B57" w14:textId="5A2A3C5C" w:rsidTr="00F604C3">
        <w:trPr>
          <w:trHeight w:val="621"/>
        </w:trPr>
        <w:tc>
          <w:tcPr>
            <w:tcW w:w="1809" w:type="dxa"/>
            <w:hideMark/>
          </w:tcPr>
          <w:p w14:paraId="7C1A2842" w14:textId="7B26EC3F" w:rsidR="0007310F" w:rsidRPr="008F1950" w:rsidRDefault="00F604C3" w:rsidP="0007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Maddenin Eklenmesi</w:t>
            </w:r>
          </w:p>
          <w:p w14:paraId="389C1DB8" w14:textId="6B1181C9" w:rsidR="0007310F" w:rsidRPr="008F1950" w:rsidRDefault="0007310F" w:rsidP="00073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7CE769" w14:textId="35411A20" w:rsidR="0007310F" w:rsidRPr="008F1950" w:rsidRDefault="00295E8B" w:rsidP="00F604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F604C3" w:rsidRPr="00F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Geçici Madde 2024 Yılı</w:t>
            </w:r>
            <w:r w:rsidR="00F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04C3" w:rsidRPr="00F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Hayat Pahalılığı Ödeneği Hakkının Uygulanması</w:t>
            </w:r>
          </w:p>
        </w:tc>
        <w:tc>
          <w:tcPr>
            <w:tcW w:w="5830" w:type="dxa"/>
            <w:gridSpan w:val="2"/>
            <w:hideMark/>
          </w:tcPr>
          <w:p w14:paraId="53EF9768" w14:textId="44315E44" w:rsidR="00A51097" w:rsidRPr="000713BE" w:rsidRDefault="00A51097" w:rsidP="00A510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 Yasanın 110’</w:t>
            </w:r>
            <w:r w:rsidR="00A5604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="00A5604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maddesi</w:t>
            </w:r>
            <w:r w:rsidR="00295E8B">
              <w:rPr>
                <w:rFonts w:ascii="Times New Roman" w:hAnsi="Times New Roman" w:cs="Times New Roman"/>
                <w:sz w:val="24"/>
                <w:szCs w:val="24"/>
              </w:rPr>
              <w:t>nin birinci cümlesindeki kurallar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bakılmaksızın</w:t>
            </w:r>
            <w:r w:rsidR="006F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Yasaya göre bağlanan gelir ve aylıklara 1 Ocak 2024 tarihinden itibaren </w:t>
            </w:r>
            <w:r w:rsidRPr="000713BE">
              <w:rPr>
                <w:rFonts w:ascii="Times New Roman" w:hAnsi="Times New Roman" w:cs="Times New Roman"/>
                <w:sz w:val="24"/>
                <w:szCs w:val="24"/>
              </w:rPr>
              <w:t xml:space="preserve">İstatistik Kurumu tarafından yayımlanacak Tüketici Fiyatları Genel Endeksinde Aralık ayı esasına göre oluşacak artış farkı kadar miktar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dört </w:t>
            </w:r>
            <w:r w:rsidRPr="000713BE">
              <w:rPr>
                <w:rFonts w:ascii="Times New Roman" w:hAnsi="Times New Roman" w:cs="Times New Roman"/>
                <w:sz w:val="24"/>
                <w:szCs w:val="24"/>
              </w:rPr>
              <w:t xml:space="preserve">aylık dönemler halinde </w:t>
            </w:r>
            <w:r w:rsidRPr="000713BE">
              <w:rPr>
                <w:rFonts w:ascii="Times New Roman" w:hAnsi="Times New Roman" w:cs="Times New Roman"/>
                <w:bCs/>
                <w:sz w:val="24"/>
                <w:szCs w:val="24"/>
              </w:rPr>
              <w:t>Mayıs 2024, Eylül 2024 ve Ocak 2025 aylarında olmak üzere yılda üç kez konsolide edilerek uygulanır.</w:t>
            </w:r>
          </w:p>
          <w:p w14:paraId="29905F9A" w14:textId="72462944" w:rsidR="00A51097" w:rsidRDefault="00A51097" w:rsidP="00A5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BE">
              <w:rPr>
                <w:rFonts w:ascii="Times New Roman" w:hAnsi="Times New Roman" w:cs="Times New Roman"/>
                <w:sz w:val="24"/>
                <w:szCs w:val="24"/>
              </w:rPr>
              <w:t xml:space="preserve">       Ancak Tüketici Fiyatları Genel Endeksinin eksi çıkması halinde</w:t>
            </w:r>
            <w:r w:rsidR="00E05282">
              <w:rPr>
                <w:rFonts w:ascii="Times New Roman" w:hAnsi="Times New Roman" w:cs="Times New Roman"/>
                <w:sz w:val="24"/>
                <w:szCs w:val="24"/>
              </w:rPr>
              <w:t>, bu eksiler</w:t>
            </w:r>
            <w:r w:rsidRPr="000713BE">
              <w:rPr>
                <w:rFonts w:ascii="Times New Roman" w:hAnsi="Times New Roman" w:cs="Times New Roman"/>
                <w:sz w:val="24"/>
                <w:szCs w:val="24"/>
              </w:rPr>
              <w:t xml:space="preserve"> sonraki dönemlerde Tüketici Fiyatları Genel Endeksinde oluşacak artılardan düşülerek uygulamaya devam edilir.</w:t>
            </w:r>
            <w:r w:rsidR="00E052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15A6AD8" w14:textId="1D327E60" w:rsidR="0007310F" w:rsidRPr="00F604C3" w:rsidRDefault="0007310F" w:rsidP="00A51097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542" w:type="dxa"/>
        <w:jc w:val="center"/>
        <w:tblInd w:w="578" w:type="dxa"/>
        <w:tblLook w:val="01E0" w:firstRow="1" w:lastRow="1" w:firstColumn="1" w:lastColumn="1" w:noHBand="0" w:noVBand="0"/>
      </w:tblPr>
      <w:tblGrid>
        <w:gridCol w:w="1908"/>
        <w:gridCol w:w="7634"/>
      </w:tblGrid>
      <w:tr w:rsidR="008143F2" w:rsidRPr="008F1950" w14:paraId="57D9EABC" w14:textId="77777777" w:rsidTr="00A51097">
        <w:trPr>
          <w:trHeight w:val="338"/>
          <w:jc w:val="center"/>
        </w:trPr>
        <w:tc>
          <w:tcPr>
            <w:tcW w:w="1908" w:type="dxa"/>
            <w:vAlign w:val="center"/>
          </w:tcPr>
          <w:p w14:paraId="0F1FD06E" w14:textId="77777777" w:rsidR="008143F2" w:rsidRPr="008F1950" w:rsidRDefault="008143F2" w:rsidP="001905A3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F195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Yürürlüğe Giriş</w:t>
            </w:r>
          </w:p>
        </w:tc>
        <w:tc>
          <w:tcPr>
            <w:tcW w:w="7634" w:type="dxa"/>
          </w:tcPr>
          <w:p w14:paraId="528BCA3A" w14:textId="296BBCD0" w:rsidR="008143F2" w:rsidRPr="008F1950" w:rsidRDefault="008143F2" w:rsidP="008F3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1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3. Bu Yasa,</w:t>
            </w:r>
            <w:r w:rsidR="0007310F" w:rsidRPr="008F1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 1 </w:t>
            </w:r>
            <w:r w:rsidR="006A3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O</w:t>
            </w:r>
            <w:r w:rsidR="0007310F" w:rsidRPr="008F1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cak 2024 tarihinden </w:t>
            </w:r>
            <w:r w:rsidR="008F3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başlayarak </w:t>
            </w:r>
            <w:r w:rsidRPr="008F1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yürürlüğe girer.</w:t>
            </w:r>
          </w:p>
        </w:tc>
      </w:tr>
    </w:tbl>
    <w:p w14:paraId="12078FEF" w14:textId="77777777" w:rsidR="00E458F4" w:rsidRDefault="00E458F4"/>
    <w:p w14:paraId="7A58E9D4" w14:textId="77777777" w:rsidR="008143F2" w:rsidRDefault="008143F2"/>
    <w:p w14:paraId="533A7707" w14:textId="77777777" w:rsidR="00B87E19" w:rsidRPr="00A7573D" w:rsidRDefault="00B87E19" w:rsidP="00A7573D">
      <w:pPr>
        <w:rPr>
          <w:rFonts w:ascii="Times New Roman" w:hAnsi="Times New Roman" w:cs="Times New Roman"/>
          <w:sz w:val="24"/>
          <w:szCs w:val="24"/>
        </w:rPr>
      </w:pPr>
    </w:p>
    <w:sectPr w:rsidR="00B87E19" w:rsidRPr="00A757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69108" w14:textId="77777777" w:rsidR="001905A3" w:rsidRDefault="001905A3" w:rsidP="00611EDC">
      <w:pPr>
        <w:spacing w:after="0" w:line="240" w:lineRule="auto"/>
      </w:pPr>
      <w:r>
        <w:separator/>
      </w:r>
    </w:p>
  </w:endnote>
  <w:endnote w:type="continuationSeparator" w:id="0">
    <w:p w14:paraId="383D6AEB" w14:textId="77777777" w:rsidR="001905A3" w:rsidRDefault="001905A3" w:rsidP="0061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9F4D2" w14:textId="4C95BA92" w:rsidR="001905A3" w:rsidRDefault="001905A3">
    <w:pPr>
      <w:pStyle w:val="Footer"/>
      <w:jc w:val="right"/>
    </w:pPr>
  </w:p>
  <w:p w14:paraId="74E20B55" w14:textId="77777777" w:rsidR="001905A3" w:rsidRDefault="00190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681E8" w14:textId="77777777" w:rsidR="001905A3" w:rsidRDefault="001905A3" w:rsidP="00611EDC">
      <w:pPr>
        <w:spacing w:after="0" w:line="240" w:lineRule="auto"/>
      </w:pPr>
      <w:r>
        <w:separator/>
      </w:r>
    </w:p>
  </w:footnote>
  <w:footnote w:type="continuationSeparator" w:id="0">
    <w:p w14:paraId="15DF1247" w14:textId="77777777" w:rsidR="001905A3" w:rsidRDefault="001905A3" w:rsidP="0061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A77"/>
    <w:multiLevelType w:val="hybridMultilevel"/>
    <w:tmpl w:val="CDE2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692A"/>
    <w:multiLevelType w:val="hybridMultilevel"/>
    <w:tmpl w:val="6F6C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6568F"/>
    <w:multiLevelType w:val="hybridMultilevel"/>
    <w:tmpl w:val="CD3CFD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55B7C"/>
    <w:multiLevelType w:val="hybridMultilevel"/>
    <w:tmpl w:val="0A746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DB3"/>
    <w:multiLevelType w:val="hybridMultilevel"/>
    <w:tmpl w:val="82E6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46EB9"/>
    <w:multiLevelType w:val="hybridMultilevel"/>
    <w:tmpl w:val="26D4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87"/>
    <w:rsid w:val="00001DCE"/>
    <w:rsid w:val="00010B5B"/>
    <w:rsid w:val="00040482"/>
    <w:rsid w:val="0007310F"/>
    <w:rsid w:val="00076CE6"/>
    <w:rsid w:val="00086DD4"/>
    <w:rsid w:val="000B14FF"/>
    <w:rsid w:val="000C1B5E"/>
    <w:rsid w:val="000D0A5A"/>
    <w:rsid w:val="000D7D8B"/>
    <w:rsid w:val="000E08E4"/>
    <w:rsid w:val="00105200"/>
    <w:rsid w:val="001148A9"/>
    <w:rsid w:val="00156B6C"/>
    <w:rsid w:val="00157F90"/>
    <w:rsid w:val="001757C9"/>
    <w:rsid w:val="001877B0"/>
    <w:rsid w:val="001905A3"/>
    <w:rsid w:val="001951BC"/>
    <w:rsid w:val="00196E52"/>
    <w:rsid w:val="001B0029"/>
    <w:rsid w:val="001B088F"/>
    <w:rsid w:val="001B2454"/>
    <w:rsid w:val="001B798F"/>
    <w:rsid w:val="001C3F9D"/>
    <w:rsid w:val="001C783F"/>
    <w:rsid w:val="001D6C07"/>
    <w:rsid w:val="0020295F"/>
    <w:rsid w:val="00206D5F"/>
    <w:rsid w:val="00216598"/>
    <w:rsid w:val="002428E3"/>
    <w:rsid w:val="002706B0"/>
    <w:rsid w:val="0027360E"/>
    <w:rsid w:val="0028644F"/>
    <w:rsid w:val="00287288"/>
    <w:rsid w:val="00295E8B"/>
    <w:rsid w:val="002B5BE7"/>
    <w:rsid w:val="002D3F41"/>
    <w:rsid w:val="002D68EC"/>
    <w:rsid w:val="002E7FCC"/>
    <w:rsid w:val="00302154"/>
    <w:rsid w:val="00304760"/>
    <w:rsid w:val="00306F59"/>
    <w:rsid w:val="00357943"/>
    <w:rsid w:val="00386D5E"/>
    <w:rsid w:val="003956D6"/>
    <w:rsid w:val="003A4B7E"/>
    <w:rsid w:val="003C389C"/>
    <w:rsid w:val="003C4585"/>
    <w:rsid w:val="003D4841"/>
    <w:rsid w:val="003F0C0D"/>
    <w:rsid w:val="003F7990"/>
    <w:rsid w:val="00413F96"/>
    <w:rsid w:val="0041653E"/>
    <w:rsid w:val="004342D7"/>
    <w:rsid w:val="00443715"/>
    <w:rsid w:val="004469F9"/>
    <w:rsid w:val="004549FC"/>
    <w:rsid w:val="004559C8"/>
    <w:rsid w:val="0047351D"/>
    <w:rsid w:val="004D21E8"/>
    <w:rsid w:val="004D5454"/>
    <w:rsid w:val="004D65A3"/>
    <w:rsid w:val="004E272C"/>
    <w:rsid w:val="004F373F"/>
    <w:rsid w:val="004F6DE4"/>
    <w:rsid w:val="004F7F8F"/>
    <w:rsid w:val="005024DE"/>
    <w:rsid w:val="00510871"/>
    <w:rsid w:val="00525537"/>
    <w:rsid w:val="00527F79"/>
    <w:rsid w:val="005500C2"/>
    <w:rsid w:val="005530E6"/>
    <w:rsid w:val="00576991"/>
    <w:rsid w:val="005A3126"/>
    <w:rsid w:val="005C16A4"/>
    <w:rsid w:val="005F002E"/>
    <w:rsid w:val="005F3D19"/>
    <w:rsid w:val="005F5FA5"/>
    <w:rsid w:val="00605846"/>
    <w:rsid w:val="00611EDC"/>
    <w:rsid w:val="00623A58"/>
    <w:rsid w:val="00623B3F"/>
    <w:rsid w:val="0062516D"/>
    <w:rsid w:val="006440D0"/>
    <w:rsid w:val="00657A15"/>
    <w:rsid w:val="00665953"/>
    <w:rsid w:val="00671CE5"/>
    <w:rsid w:val="006922A7"/>
    <w:rsid w:val="006931F4"/>
    <w:rsid w:val="006A3E9C"/>
    <w:rsid w:val="006C4623"/>
    <w:rsid w:val="006D38C1"/>
    <w:rsid w:val="006F4F02"/>
    <w:rsid w:val="006F790E"/>
    <w:rsid w:val="007000B0"/>
    <w:rsid w:val="007033BF"/>
    <w:rsid w:val="007134EB"/>
    <w:rsid w:val="00731C72"/>
    <w:rsid w:val="00745BD4"/>
    <w:rsid w:val="00753350"/>
    <w:rsid w:val="00760BBF"/>
    <w:rsid w:val="007614E6"/>
    <w:rsid w:val="00767CE7"/>
    <w:rsid w:val="00773941"/>
    <w:rsid w:val="007A0416"/>
    <w:rsid w:val="007A0A47"/>
    <w:rsid w:val="007B7487"/>
    <w:rsid w:val="007C48FF"/>
    <w:rsid w:val="007E55AC"/>
    <w:rsid w:val="007E62EE"/>
    <w:rsid w:val="00800EAA"/>
    <w:rsid w:val="0081067D"/>
    <w:rsid w:val="00810C77"/>
    <w:rsid w:val="008143F2"/>
    <w:rsid w:val="008240EA"/>
    <w:rsid w:val="00852EAB"/>
    <w:rsid w:val="00864FF3"/>
    <w:rsid w:val="008744BA"/>
    <w:rsid w:val="008750AD"/>
    <w:rsid w:val="00896B87"/>
    <w:rsid w:val="008B1072"/>
    <w:rsid w:val="008D2D09"/>
    <w:rsid w:val="008E380C"/>
    <w:rsid w:val="008F1950"/>
    <w:rsid w:val="008F32AF"/>
    <w:rsid w:val="009021D6"/>
    <w:rsid w:val="0090737A"/>
    <w:rsid w:val="0091703C"/>
    <w:rsid w:val="00917402"/>
    <w:rsid w:val="00937FC1"/>
    <w:rsid w:val="00940253"/>
    <w:rsid w:val="009508B5"/>
    <w:rsid w:val="009914A6"/>
    <w:rsid w:val="009C6574"/>
    <w:rsid w:val="009C6DFD"/>
    <w:rsid w:val="009F3456"/>
    <w:rsid w:val="00A012DB"/>
    <w:rsid w:val="00A15FEF"/>
    <w:rsid w:val="00A17FA3"/>
    <w:rsid w:val="00A21BF1"/>
    <w:rsid w:val="00A27F90"/>
    <w:rsid w:val="00A51097"/>
    <w:rsid w:val="00A56040"/>
    <w:rsid w:val="00A57819"/>
    <w:rsid w:val="00A7573D"/>
    <w:rsid w:val="00A7706F"/>
    <w:rsid w:val="00A8247F"/>
    <w:rsid w:val="00A84BCB"/>
    <w:rsid w:val="00A94492"/>
    <w:rsid w:val="00AA3616"/>
    <w:rsid w:val="00AD03E4"/>
    <w:rsid w:val="00AD05DF"/>
    <w:rsid w:val="00AE5068"/>
    <w:rsid w:val="00AF2871"/>
    <w:rsid w:val="00B2286B"/>
    <w:rsid w:val="00B328B5"/>
    <w:rsid w:val="00B6093F"/>
    <w:rsid w:val="00B62BA8"/>
    <w:rsid w:val="00B84C8D"/>
    <w:rsid w:val="00B87AB8"/>
    <w:rsid w:val="00B87E19"/>
    <w:rsid w:val="00B903DB"/>
    <w:rsid w:val="00B906E4"/>
    <w:rsid w:val="00BB280B"/>
    <w:rsid w:val="00BB5128"/>
    <w:rsid w:val="00BB795A"/>
    <w:rsid w:val="00BC3673"/>
    <w:rsid w:val="00BC5BBC"/>
    <w:rsid w:val="00BC6EB5"/>
    <w:rsid w:val="00BE2048"/>
    <w:rsid w:val="00BF1D33"/>
    <w:rsid w:val="00BF3A12"/>
    <w:rsid w:val="00C11CCC"/>
    <w:rsid w:val="00C34872"/>
    <w:rsid w:val="00C45930"/>
    <w:rsid w:val="00C566B8"/>
    <w:rsid w:val="00CE0CD7"/>
    <w:rsid w:val="00CE2AEF"/>
    <w:rsid w:val="00D13A4C"/>
    <w:rsid w:val="00D31BE8"/>
    <w:rsid w:val="00D42803"/>
    <w:rsid w:val="00D45E69"/>
    <w:rsid w:val="00D4732E"/>
    <w:rsid w:val="00D50323"/>
    <w:rsid w:val="00D612EE"/>
    <w:rsid w:val="00D64E83"/>
    <w:rsid w:val="00D747FE"/>
    <w:rsid w:val="00D76F83"/>
    <w:rsid w:val="00D771DF"/>
    <w:rsid w:val="00D82492"/>
    <w:rsid w:val="00DA4D5E"/>
    <w:rsid w:val="00DB0283"/>
    <w:rsid w:val="00DB284E"/>
    <w:rsid w:val="00DB6D89"/>
    <w:rsid w:val="00DC117A"/>
    <w:rsid w:val="00DD3BB1"/>
    <w:rsid w:val="00DE1D01"/>
    <w:rsid w:val="00E05282"/>
    <w:rsid w:val="00E14BC6"/>
    <w:rsid w:val="00E2550B"/>
    <w:rsid w:val="00E3349B"/>
    <w:rsid w:val="00E35673"/>
    <w:rsid w:val="00E41945"/>
    <w:rsid w:val="00E445DC"/>
    <w:rsid w:val="00E458F4"/>
    <w:rsid w:val="00E572DF"/>
    <w:rsid w:val="00E84C31"/>
    <w:rsid w:val="00EA07FB"/>
    <w:rsid w:val="00EA183F"/>
    <w:rsid w:val="00EA20E9"/>
    <w:rsid w:val="00EA4F7E"/>
    <w:rsid w:val="00EB7463"/>
    <w:rsid w:val="00EB79F3"/>
    <w:rsid w:val="00EC09AB"/>
    <w:rsid w:val="00ED7FCC"/>
    <w:rsid w:val="00EE6117"/>
    <w:rsid w:val="00EE6172"/>
    <w:rsid w:val="00F02533"/>
    <w:rsid w:val="00F157D7"/>
    <w:rsid w:val="00F206F0"/>
    <w:rsid w:val="00F36777"/>
    <w:rsid w:val="00F550E8"/>
    <w:rsid w:val="00F604C3"/>
    <w:rsid w:val="00FA0358"/>
    <w:rsid w:val="00FA5551"/>
    <w:rsid w:val="00FB0C1F"/>
    <w:rsid w:val="00FB7B50"/>
    <w:rsid w:val="00FC790F"/>
    <w:rsid w:val="00FD1544"/>
    <w:rsid w:val="00FD35FC"/>
    <w:rsid w:val="00FD7E81"/>
    <w:rsid w:val="00FF2FED"/>
    <w:rsid w:val="00FF4E1D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C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C1"/>
  </w:style>
  <w:style w:type="paragraph" w:styleId="Heading1">
    <w:name w:val="heading 1"/>
    <w:basedOn w:val="Normal"/>
    <w:next w:val="Normal"/>
    <w:link w:val="Heading1Char"/>
    <w:uiPriority w:val="9"/>
    <w:qFormat/>
    <w:rsid w:val="00273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E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DC"/>
  </w:style>
  <w:style w:type="paragraph" w:styleId="Footer">
    <w:name w:val="footer"/>
    <w:basedOn w:val="Normal"/>
    <w:link w:val="FooterChar"/>
    <w:uiPriority w:val="99"/>
    <w:unhideWhenUsed/>
    <w:rsid w:val="00611E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DC"/>
  </w:style>
  <w:style w:type="paragraph" w:styleId="ListParagraph">
    <w:name w:val="List Paragraph"/>
    <w:basedOn w:val="Normal"/>
    <w:uiPriority w:val="34"/>
    <w:qFormat/>
    <w:rsid w:val="00A7706F"/>
    <w:pPr>
      <w:ind w:left="720"/>
      <w:contextualSpacing/>
    </w:pPr>
  </w:style>
  <w:style w:type="paragraph" w:styleId="NoSpacing">
    <w:name w:val="No Spacing"/>
    <w:uiPriority w:val="1"/>
    <w:qFormat/>
    <w:rsid w:val="002736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3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7E55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DefaultParagraphFont"/>
    <w:link w:val="Title"/>
    <w:rsid w:val="007E55A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C1"/>
  </w:style>
  <w:style w:type="paragraph" w:styleId="Heading1">
    <w:name w:val="heading 1"/>
    <w:basedOn w:val="Normal"/>
    <w:next w:val="Normal"/>
    <w:link w:val="Heading1Char"/>
    <w:uiPriority w:val="9"/>
    <w:qFormat/>
    <w:rsid w:val="00273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E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DC"/>
  </w:style>
  <w:style w:type="paragraph" w:styleId="Footer">
    <w:name w:val="footer"/>
    <w:basedOn w:val="Normal"/>
    <w:link w:val="FooterChar"/>
    <w:uiPriority w:val="99"/>
    <w:unhideWhenUsed/>
    <w:rsid w:val="00611E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DC"/>
  </w:style>
  <w:style w:type="paragraph" w:styleId="ListParagraph">
    <w:name w:val="List Paragraph"/>
    <w:basedOn w:val="Normal"/>
    <w:uiPriority w:val="34"/>
    <w:qFormat/>
    <w:rsid w:val="00A7706F"/>
    <w:pPr>
      <w:ind w:left="720"/>
      <w:contextualSpacing/>
    </w:pPr>
  </w:style>
  <w:style w:type="paragraph" w:styleId="NoSpacing">
    <w:name w:val="No Spacing"/>
    <w:uiPriority w:val="1"/>
    <w:qFormat/>
    <w:rsid w:val="002736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3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7E55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DefaultParagraphFont"/>
    <w:link w:val="Title"/>
    <w:rsid w:val="007E55A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29EC-6D8C-4C27-AD51-16F31D22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 Çağdaş Dayıoğlu</dc:creator>
  <cp:lastModifiedBy>Alara Ataç</cp:lastModifiedBy>
  <cp:revision>2</cp:revision>
  <cp:lastPrinted>2024-03-26T11:38:00Z</cp:lastPrinted>
  <dcterms:created xsi:type="dcterms:W3CDTF">2024-04-01T07:20:00Z</dcterms:created>
  <dcterms:modified xsi:type="dcterms:W3CDTF">2024-04-01T07:20:00Z</dcterms:modified>
</cp:coreProperties>
</file>