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6A7" w:rsidRDefault="007C66A7" w:rsidP="00265A34">
      <w:pPr>
        <w:jc w:val="center"/>
        <w:rPr>
          <w:sz w:val="24"/>
          <w:szCs w:val="24"/>
        </w:rPr>
      </w:pPr>
      <w:bookmarkStart w:id="0" w:name="_GoBack"/>
      <w:bookmarkEnd w:id="0"/>
    </w:p>
    <w:p w:rsidR="007C66A7" w:rsidRPr="007C66A7" w:rsidRDefault="007C66A7" w:rsidP="007C66A7">
      <w:pPr>
        <w:overflowPunct/>
        <w:autoSpaceDE/>
        <w:autoSpaceDN/>
        <w:adjustRightInd/>
        <w:spacing w:line="0" w:lineRule="atLeast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7C66A7">
        <w:rPr>
          <w:rFonts w:eastAsia="Calibri"/>
          <w:b/>
          <w:bCs/>
          <w:sz w:val="24"/>
          <w:szCs w:val="24"/>
          <w:lang w:eastAsia="en-US"/>
        </w:rPr>
        <w:t>Kuzey Kıbrıs Türk Cumhuriyeti Cumhuriyet Meclisi’nin 2</w:t>
      </w:r>
      <w:r>
        <w:rPr>
          <w:rFonts w:eastAsia="Calibri"/>
          <w:b/>
          <w:bCs/>
          <w:sz w:val="24"/>
          <w:szCs w:val="24"/>
          <w:lang w:eastAsia="en-US"/>
        </w:rPr>
        <w:t>7</w:t>
      </w:r>
      <w:r w:rsidRPr="007C66A7">
        <w:rPr>
          <w:rFonts w:eastAsia="Calibri"/>
          <w:b/>
          <w:bCs/>
          <w:sz w:val="24"/>
          <w:szCs w:val="24"/>
          <w:lang w:eastAsia="en-US"/>
        </w:rPr>
        <w:t xml:space="preserve"> Ocak 2020 tarihli </w:t>
      </w:r>
      <w:proofErr w:type="spellStart"/>
      <w:r w:rsidRPr="007C66A7">
        <w:rPr>
          <w:rFonts w:eastAsia="Calibri"/>
          <w:b/>
          <w:bCs/>
          <w:sz w:val="24"/>
          <w:szCs w:val="24"/>
          <w:lang w:eastAsia="en-US"/>
        </w:rPr>
        <w:t>Otuz</w:t>
      </w:r>
      <w:r>
        <w:rPr>
          <w:rFonts w:eastAsia="Calibri"/>
          <w:b/>
          <w:bCs/>
          <w:sz w:val="24"/>
          <w:szCs w:val="24"/>
          <w:lang w:eastAsia="en-US"/>
        </w:rPr>
        <w:t>dördüncü</w:t>
      </w:r>
      <w:proofErr w:type="spellEnd"/>
      <w:r w:rsidRPr="007C66A7">
        <w:rPr>
          <w:rFonts w:eastAsia="Calibri"/>
          <w:b/>
          <w:bCs/>
          <w:sz w:val="24"/>
          <w:szCs w:val="24"/>
          <w:lang w:eastAsia="en-US"/>
        </w:rPr>
        <w:t xml:space="preserve"> Birleşimde Oybirliğiyle kabul olunan “</w:t>
      </w:r>
      <w:r>
        <w:rPr>
          <w:rFonts w:eastAsia="Calibri"/>
          <w:b/>
          <w:bCs/>
          <w:sz w:val="24"/>
          <w:szCs w:val="24"/>
          <w:lang w:eastAsia="en-US"/>
        </w:rPr>
        <w:t>Sivil Savunma</w:t>
      </w:r>
      <w:r w:rsidRPr="007C66A7">
        <w:rPr>
          <w:rFonts w:eastAsia="Calibri"/>
          <w:b/>
          <w:sz w:val="24"/>
          <w:szCs w:val="24"/>
          <w:lang w:eastAsia="en-US"/>
        </w:rPr>
        <w:t xml:space="preserve"> </w:t>
      </w:r>
      <w:r>
        <w:rPr>
          <w:rFonts w:eastAsia="Calibri"/>
          <w:b/>
          <w:sz w:val="24"/>
          <w:szCs w:val="24"/>
          <w:lang w:eastAsia="en-US"/>
        </w:rPr>
        <w:t xml:space="preserve">Teşkilatı Personel </w:t>
      </w:r>
      <w:r w:rsidRPr="007C66A7">
        <w:rPr>
          <w:rFonts w:eastAsia="Calibri"/>
          <w:b/>
          <w:sz w:val="24"/>
          <w:szCs w:val="24"/>
          <w:lang w:eastAsia="en-US"/>
        </w:rPr>
        <w:t>(Değişiklik) Yasası”</w:t>
      </w:r>
      <w:r w:rsidRPr="007C66A7">
        <w:rPr>
          <w:rFonts w:eastAsia="Calibri"/>
          <w:sz w:val="24"/>
          <w:szCs w:val="24"/>
          <w:lang w:eastAsia="en-US"/>
        </w:rPr>
        <w:t xml:space="preserve"> </w:t>
      </w:r>
      <w:r w:rsidRPr="007C66A7">
        <w:rPr>
          <w:rFonts w:eastAsia="Calibri"/>
          <w:b/>
          <w:bCs/>
          <w:sz w:val="24"/>
          <w:szCs w:val="24"/>
          <w:lang w:eastAsia="en-US"/>
        </w:rPr>
        <w:t xml:space="preserve">Anayasanın 94’üncü maddesinin (1)’inci fıkrası gereğince Kuzey Kıbrıs Türk Cumhuriyeti Cumhurbaşkanı tarafından Resmi </w:t>
      </w:r>
      <w:proofErr w:type="spellStart"/>
      <w:r w:rsidRPr="007C66A7">
        <w:rPr>
          <w:rFonts w:eastAsia="Calibri"/>
          <w:b/>
          <w:bCs/>
          <w:sz w:val="24"/>
          <w:szCs w:val="24"/>
          <w:lang w:eastAsia="en-US"/>
        </w:rPr>
        <w:t>Gazete’de</w:t>
      </w:r>
      <w:proofErr w:type="spellEnd"/>
      <w:r w:rsidRPr="007C66A7">
        <w:rPr>
          <w:rFonts w:eastAsia="Calibri"/>
          <w:b/>
          <w:bCs/>
          <w:sz w:val="24"/>
          <w:szCs w:val="24"/>
          <w:lang w:eastAsia="en-US"/>
        </w:rPr>
        <w:t xml:space="preserve"> yayımlanmak suretiyle ilan olunur.</w:t>
      </w:r>
    </w:p>
    <w:p w:rsidR="007C66A7" w:rsidRPr="007C66A7" w:rsidRDefault="007C66A7" w:rsidP="007C66A7">
      <w:pPr>
        <w:overflowPunct/>
        <w:autoSpaceDE/>
        <w:autoSpaceDN/>
        <w:adjustRightInd/>
        <w:spacing w:line="0" w:lineRule="atLeast"/>
        <w:jc w:val="both"/>
        <w:rPr>
          <w:rFonts w:eastAsia="Calibri"/>
          <w:b/>
          <w:bCs/>
          <w:sz w:val="24"/>
          <w:szCs w:val="24"/>
          <w:lang w:eastAsia="en-US"/>
        </w:rPr>
      </w:pPr>
    </w:p>
    <w:p w:rsidR="007C66A7" w:rsidRPr="007C66A7" w:rsidRDefault="007C66A7" w:rsidP="007C66A7">
      <w:pPr>
        <w:overflowPunct/>
        <w:autoSpaceDE/>
        <w:autoSpaceDN/>
        <w:adjustRightInd/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7C66A7" w:rsidRPr="007C66A7" w:rsidRDefault="007C66A7" w:rsidP="007C66A7">
      <w:pPr>
        <w:overflowPunct/>
        <w:autoSpaceDE/>
        <w:autoSpaceDN/>
        <w:adjustRightInd/>
        <w:jc w:val="center"/>
        <w:rPr>
          <w:b/>
          <w:sz w:val="24"/>
          <w:szCs w:val="24"/>
        </w:rPr>
      </w:pPr>
      <w:r w:rsidRPr="007C66A7">
        <w:rPr>
          <w:b/>
          <w:sz w:val="24"/>
          <w:szCs w:val="24"/>
        </w:rPr>
        <w:t xml:space="preserve">Sayı </w:t>
      </w:r>
      <w:r>
        <w:rPr>
          <w:b/>
          <w:sz w:val="24"/>
          <w:szCs w:val="24"/>
        </w:rPr>
        <w:t>5</w:t>
      </w:r>
      <w:r w:rsidRPr="007C66A7">
        <w:rPr>
          <w:b/>
          <w:sz w:val="24"/>
          <w:szCs w:val="24"/>
        </w:rPr>
        <w:t>/2020</w:t>
      </w:r>
    </w:p>
    <w:p w:rsidR="007C66A7" w:rsidRPr="007C66A7" w:rsidRDefault="007C66A7" w:rsidP="007C66A7">
      <w:pPr>
        <w:overflowPunct/>
        <w:autoSpaceDE/>
        <w:autoSpaceDN/>
        <w:adjustRightInd/>
        <w:spacing w:line="0" w:lineRule="atLeast"/>
        <w:rPr>
          <w:rFonts w:eastAsia="Calibri"/>
          <w:sz w:val="24"/>
          <w:szCs w:val="24"/>
          <w:lang w:eastAsia="en-US"/>
        </w:rPr>
      </w:pPr>
    </w:p>
    <w:p w:rsidR="007C66A7" w:rsidRDefault="007C66A7" w:rsidP="00265A34">
      <w:pPr>
        <w:jc w:val="center"/>
        <w:rPr>
          <w:sz w:val="24"/>
          <w:szCs w:val="24"/>
        </w:rPr>
      </w:pPr>
    </w:p>
    <w:p w:rsidR="007C66A7" w:rsidRDefault="007C66A7" w:rsidP="00265A34">
      <w:pPr>
        <w:jc w:val="center"/>
        <w:rPr>
          <w:sz w:val="24"/>
          <w:szCs w:val="24"/>
        </w:rPr>
      </w:pPr>
    </w:p>
    <w:p w:rsidR="007C66A7" w:rsidRDefault="007C66A7" w:rsidP="00265A34">
      <w:pPr>
        <w:jc w:val="center"/>
        <w:rPr>
          <w:sz w:val="24"/>
          <w:szCs w:val="24"/>
        </w:rPr>
      </w:pPr>
    </w:p>
    <w:p w:rsidR="000E16B4" w:rsidRPr="00BB1F45" w:rsidRDefault="00A9356F" w:rsidP="00265A34">
      <w:pPr>
        <w:jc w:val="center"/>
        <w:rPr>
          <w:sz w:val="24"/>
          <w:szCs w:val="24"/>
        </w:rPr>
      </w:pPr>
      <w:r w:rsidRPr="00BB1F45">
        <w:rPr>
          <w:sz w:val="24"/>
          <w:szCs w:val="24"/>
        </w:rPr>
        <w:t xml:space="preserve"> </w:t>
      </w:r>
      <w:r w:rsidR="00E814F5" w:rsidRPr="00BB1F45">
        <w:rPr>
          <w:sz w:val="24"/>
          <w:szCs w:val="24"/>
        </w:rPr>
        <w:t>SİVİL SAVUNMA TEŞKİLATI PERSONEL</w:t>
      </w:r>
      <w:r w:rsidR="00265A34" w:rsidRPr="00BB1F45">
        <w:rPr>
          <w:sz w:val="24"/>
          <w:szCs w:val="24"/>
        </w:rPr>
        <w:t xml:space="preserve"> </w:t>
      </w:r>
      <w:r w:rsidR="00E814F5" w:rsidRPr="00BB1F45">
        <w:rPr>
          <w:sz w:val="24"/>
          <w:szCs w:val="24"/>
        </w:rPr>
        <w:t xml:space="preserve">(DEĞİŞİKLİK) </w:t>
      </w:r>
    </w:p>
    <w:p w:rsidR="00E814F5" w:rsidRDefault="00E814F5" w:rsidP="00265A34">
      <w:pPr>
        <w:jc w:val="center"/>
        <w:rPr>
          <w:sz w:val="24"/>
          <w:szCs w:val="24"/>
        </w:rPr>
      </w:pPr>
      <w:r w:rsidRPr="00BB1F45">
        <w:rPr>
          <w:sz w:val="24"/>
          <w:szCs w:val="24"/>
        </w:rPr>
        <w:t xml:space="preserve"> YASA</w:t>
      </w:r>
      <w:r w:rsidR="00780700">
        <w:rPr>
          <w:sz w:val="24"/>
          <w:szCs w:val="24"/>
        </w:rPr>
        <w:t>SI</w:t>
      </w:r>
    </w:p>
    <w:p w:rsidR="00C32FB5" w:rsidRPr="00BB1F45" w:rsidRDefault="00C32FB5" w:rsidP="00265A34">
      <w:pPr>
        <w:jc w:val="center"/>
        <w:rPr>
          <w:sz w:val="24"/>
          <w:szCs w:val="24"/>
        </w:rPr>
      </w:pPr>
    </w:p>
    <w:p w:rsidR="00E814F5" w:rsidRPr="00265A34" w:rsidRDefault="00E814F5" w:rsidP="00265A34">
      <w:pPr>
        <w:tabs>
          <w:tab w:val="left" w:pos="2835"/>
        </w:tabs>
        <w:jc w:val="center"/>
        <w:rPr>
          <w:b/>
          <w:sz w:val="24"/>
          <w:szCs w:val="24"/>
        </w:rPr>
      </w:pP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567"/>
        <w:gridCol w:w="567"/>
        <w:gridCol w:w="567"/>
        <w:gridCol w:w="5386"/>
      </w:tblGrid>
      <w:tr w:rsidR="00265A34" w:rsidRPr="00FA6DD6" w:rsidTr="00265A34">
        <w:trPr>
          <w:trHeight w:val="409"/>
        </w:trPr>
        <w:tc>
          <w:tcPr>
            <w:tcW w:w="1668" w:type="dxa"/>
          </w:tcPr>
          <w:p w:rsidR="00265A34" w:rsidRPr="00FA6DD6" w:rsidRDefault="00265A3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512" w:type="dxa"/>
            <w:gridSpan w:val="5"/>
            <w:hideMark/>
          </w:tcPr>
          <w:p w:rsidR="00265A34" w:rsidRPr="00FA6DD6" w:rsidRDefault="00265A34" w:rsidP="00ED3800">
            <w:pPr>
              <w:jc w:val="both"/>
              <w:rPr>
                <w:sz w:val="24"/>
                <w:szCs w:val="24"/>
              </w:rPr>
            </w:pPr>
            <w:r w:rsidRPr="00FA6DD6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     </w:t>
            </w:r>
            <w:r w:rsidRPr="00FA6DD6">
              <w:rPr>
                <w:sz w:val="24"/>
                <w:szCs w:val="24"/>
              </w:rPr>
              <w:t>Kuzey Kıbrıs Türk Cumhuriyeti Cumhuriyet Meclisi aşağıdaki Yasayı yapar:</w:t>
            </w:r>
          </w:p>
        </w:tc>
      </w:tr>
      <w:tr w:rsidR="00265A34" w:rsidRPr="00FA6DD6" w:rsidTr="00265A34">
        <w:trPr>
          <w:trHeight w:val="80"/>
        </w:trPr>
        <w:tc>
          <w:tcPr>
            <w:tcW w:w="1668" w:type="dxa"/>
          </w:tcPr>
          <w:p w:rsidR="00265A34" w:rsidRPr="00FA6DD6" w:rsidRDefault="00265A34" w:rsidP="00265A34">
            <w:pPr>
              <w:jc w:val="right"/>
              <w:rPr>
                <w:rFonts w:eastAsia="Calibri"/>
                <w:sz w:val="24"/>
                <w:szCs w:val="24"/>
                <w:lang w:bidi="tr-TR"/>
              </w:rPr>
            </w:pPr>
          </w:p>
        </w:tc>
        <w:tc>
          <w:tcPr>
            <w:tcW w:w="7512" w:type="dxa"/>
            <w:gridSpan w:val="5"/>
          </w:tcPr>
          <w:p w:rsidR="00265A34" w:rsidRPr="00FA6DD6" w:rsidRDefault="00265A3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265A34" w:rsidRPr="00FA6DD6" w:rsidTr="00265A34">
        <w:trPr>
          <w:trHeight w:val="80"/>
        </w:trPr>
        <w:tc>
          <w:tcPr>
            <w:tcW w:w="1668" w:type="dxa"/>
          </w:tcPr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 w:rsidRPr="00265A34">
              <w:rPr>
                <w:sz w:val="24"/>
                <w:szCs w:val="24"/>
              </w:rPr>
              <w:t>Kısa İsim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 w:rsidRPr="00265A34">
              <w:rPr>
                <w:sz w:val="24"/>
                <w:szCs w:val="24"/>
              </w:rPr>
              <w:t>2/1980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 w:rsidRPr="00265A34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5/1982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15/1982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11/1984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40/1984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34/1986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53/1987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35/1988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40/1988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51/1990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30/1992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49/1994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12/2001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28/2001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44/2002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16/2004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16/2005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77/2009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52/2010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 w:rsidRPr="00265A3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    </w:t>
            </w:r>
            <w:r w:rsidRPr="00265A34">
              <w:rPr>
                <w:sz w:val="24"/>
                <w:szCs w:val="24"/>
              </w:rPr>
              <w:t xml:space="preserve">4/2011 </w:t>
            </w:r>
          </w:p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31/2011</w:t>
            </w:r>
          </w:p>
          <w:p w:rsidR="00265A34" w:rsidRPr="00FA6DD6" w:rsidRDefault="00265A34" w:rsidP="00265A34">
            <w:pPr>
              <w:rPr>
                <w:rFonts w:eastAsia="Calibri"/>
                <w:sz w:val="24"/>
                <w:szCs w:val="24"/>
                <w:lang w:bidi="tr-TR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265A34">
              <w:rPr>
                <w:sz w:val="24"/>
                <w:szCs w:val="24"/>
              </w:rPr>
              <w:t>20/2017</w:t>
            </w:r>
          </w:p>
        </w:tc>
        <w:tc>
          <w:tcPr>
            <w:tcW w:w="7512" w:type="dxa"/>
            <w:gridSpan w:val="5"/>
          </w:tcPr>
          <w:p w:rsidR="00265A34" w:rsidRPr="00265A34" w:rsidRDefault="00265A34" w:rsidP="00265A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1. </w:t>
            </w:r>
            <w:r w:rsidRPr="00265A34">
              <w:rPr>
                <w:rFonts w:eastAsia="Calibri"/>
                <w:sz w:val="24"/>
                <w:szCs w:val="24"/>
              </w:rPr>
              <w:t>Bu Yasa, Sivil Savunma Teşkilatı Personel (Değişiklik) Yasası olarak isimlendirilir ve aşağıda “Esas Yasa” olarak anılan Sivil Savunma Teşkilatı Personel Yasası ile birlikte okunur.</w:t>
            </w:r>
          </w:p>
        </w:tc>
      </w:tr>
      <w:tr w:rsidR="00265A34" w:rsidRPr="00FA6DD6" w:rsidTr="00265A34">
        <w:trPr>
          <w:trHeight w:val="80"/>
        </w:trPr>
        <w:tc>
          <w:tcPr>
            <w:tcW w:w="1668" w:type="dxa"/>
          </w:tcPr>
          <w:p w:rsidR="00265A34" w:rsidRPr="00265A34" w:rsidRDefault="00265A34" w:rsidP="00265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512" w:type="dxa"/>
            <w:gridSpan w:val="5"/>
          </w:tcPr>
          <w:p w:rsidR="00265A34" w:rsidRDefault="00265A3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16B4" w:rsidRPr="00FA6DD6" w:rsidTr="000E16B4">
        <w:trPr>
          <w:trHeight w:val="80"/>
        </w:trPr>
        <w:tc>
          <w:tcPr>
            <w:tcW w:w="1668" w:type="dxa"/>
          </w:tcPr>
          <w:p w:rsidR="000E16B4" w:rsidRPr="000E16B4" w:rsidRDefault="000E16B4" w:rsidP="000E16B4">
            <w:pPr>
              <w:rPr>
                <w:sz w:val="24"/>
                <w:szCs w:val="24"/>
              </w:rPr>
            </w:pPr>
            <w:r w:rsidRPr="000E16B4">
              <w:rPr>
                <w:sz w:val="24"/>
                <w:szCs w:val="24"/>
              </w:rPr>
              <w:t xml:space="preserve">Esas Yasanın 52’nci </w:t>
            </w:r>
          </w:p>
          <w:p w:rsidR="000E16B4" w:rsidRDefault="000E16B4" w:rsidP="00DF71FB">
            <w:pPr>
              <w:rPr>
                <w:sz w:val="24"/>
                <w:szCs w:val="24"/>
              </w:rPr>
            </w:pPr>
            <w:r w:rsidRPr="000E16B4">
              <w:rPr>
                <w:sz w:val="24"/>
                <w:szCs w:val="24"/>
              </w:rPr>
              <w:t xml:space="preserve">Maddesine Bağlı </w:t>
            </w:r>
            <w:proofErr w:type="spellStart"/>
            <w:r w:rsidR="007D267B">
              <w:rPr>
                <w:sz w:val="24"/>
                <w:szCs w:val="24"/>
              </w:rPr>
              <w:t>III</w:t>
            </w:r>
            <w:r w:rsidR="00186556">
              <w:rPr>
                <w:sz w:val="24"/>
                <w:szCs w:val="24"/>
              </w:rPr>
              <w:t>’üncü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5216F" w:rsidRPr="00265A34" w:rsidRDefault="00A5216F" w:rsidP="00DF71FB">
            <w:pPr>
              <w:rPr>
                <w:sz w:val="24"/>
                <w:szCs w:val="24"/>
              </w:rPr>
            </w:pPr>
            <w:proofErr w:type="gramStart"/>
            <w:r w:rsidRPr="00A5216F">
              <w:rPr>
                <w:sz w:val="24"/>
                <w:szCs w:val="24"/>
              </w:rPr>
              <w:t xml:space="preserve">ve  </w:t>
            </w:r>
            <w:proofErr w:type="spellStart"/>
            <w:r w:rsidRPr="00A5216F">
              <w:rPr>
                <w:sz w:val="24"/>
                <w:szCs w:val="24"/>
              </w:rPr>
              <w:t>IV’üncü</w:t>
            </w:r>
            <w:proofErr w:type="spellEnd"/>
            <w:proofErr w:type="gramEnd"/>
          </w:p>
        </w:tc>
        <w:tc>
          <w:tcPr>
            <w:tcW w:w="425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567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(1)</w:t>
            </w:r>
          </w:p>
        </w:tc>
        <w:tc>
          <w:tcPr>
            <w:tcW w:w="567" w:type="dxa"/>
          </w:tcPr>
          <w:p w:rsidR="000E16B4" w:rsidRDefault="000E16B4" w:rsidP="000E16B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(A)</w:t>
            </w:r>
          </w:p>
        </w:tc>
        <w:tc>
          <w:tcPr>
            <w:tcW w:w="5953" w:type="dxa"/>
            <w:gridSpan w:val="2"/>
          </w:tcPr>
          <w:p w:rsidR="000E16B4" w:rsidRDefault="000E16B4" w:rsidP="00A80D73">
            <w:pPr>
              <w:jc w:val="both"/>
              <w:rPr>
                <w:rFonts w:eastAsia="Calibri"/>
                <w:sz w:val="24"/>
                <w:szCs w:val="24"/>
              </w:rPr>
            </w:pPr>
            <w:r w:rsidRPr="000E16B4">
              <w:rPr>
                <w:rFonts w:eastAsia="Calibri"/>
                <w:sz w:val="24"/>
                <w:szCs w:val="24"/>
              </w:rPr>
              <w:t xml:space="preserve">Esas Yasa, 52’nci maddesinin (1)’inci fıkrasına bağlı, </w:t>
            </w:r>
            <w:proofErr w:type="spellStart"/>
            <w:r w:rsidRPr="000E16B4">
              <w:rPr>
                <w:rFonts w:eastAsia="Calibri"/>
                <w:sz w:val="24"/>
                <w:szCs w:val="24"/>
              </w:rPr>
              <w:t>III’üncü</w:t>
            </w:r>
            <w:proofErr w:type="spellEnd"/>
            <w:r w:rsidRPr="000E16B4">
              <w:rPr>
                <w:rFonts w:eastAsia="Calibri"/>
                <w:sz w:val="24"/>
                <w:szCs w:val="24"/>
              </w:rPr>
              <w:t xml:space="preserve"> Cetvelde</w:t>
            </w:r>
            <w:r w:rsidR="008A6FEB">
              <w:rPr>
                <w:rFonts w:eastAsia="Calibri"/>
                <w:sz w:val="24"/>
                <w:szCs w:val="24"/>
              </w:rPr>
              <w:t xml:space="preserve"> </w:t>
            </w:r>
            <w:r w:rsidR="00186556">
              <w:rPr>
                <w:rFonts w:eastAsia="Calibri"/>
                <w:sz w:val="24"/>
                <w:szCs w:val="24"/>
              </w:rPr>
              <w:t>“</w:t>
            </w:r>
            <w:r w:rsidR="00A80D73">
              <w:rPr>
                <w:rFonts w:eastAsia="Calibri"/>
                <w:sz w:val="24"/>
                <w:szCs w:val="24"/>
              </w:rPr>
              <w:t>III.</w:t>
            </w:r>
            <w:r w:rsidR="004B5646">
              <w:rPr>
                <w:rFonts w:eastAsia="Calibri"/>
                <w:sz w:val="24"/>
                <w:szCs w:val="24"/>
              </w:rPr>
              <w:t xml:space="preserve"> </w:t>
            </w:r>
            <w:r w:rsidR="00A80D73">
              <w:rPr>
                <w:rFonts w:eastAsia="Calibri"/>
                <w:sz w:val="24"/>
                <w:szCs w:val="24"/>
              </w:rPr>
              <w:t xml:space="preserve">Derece </w:t>
            </w:r>
            <w:r w:rsidRPr="000E16B4">
              <w:rPr>
                <w:rFonts w:eastAsia="Calibri"/>
                <w:sz w:val="24"/>
                <w:szCs w:val="24"/>
              </w:rPr>
              <w:t>Şube Bölge Müdürü</w:t>
            </w:r>
            <w:r w:rsidR="00186556">
              <w:rPr>
                <w:rFonts w:eastAsia="Calibri"/>
                <w:sz w:val="24"/>
                <w:szCs w:val="24"/>
              </w:rPr>
              <w:t>”</w:t>
            </w:r>
            <w:r w:rsidRPr="000E16B4">
              <w:rPr>
                <w:rFonts w:eastAsia="Calibri"/>
                <w:sz w:val="24"/>
                <w:szCs w:val="24"/>
              </w:rPr>
              <w:t xml:space="preserve"> </w:t>
            </w:r>
            <w:r w:rsidR="004B5646">
              <w:rPr>
                <w:rFonts w:eastAsia="Calibri"/>
                <w:sz w:val="24"/>
                <w:szCs w:val="24"/>
              </w:rPr>
              <w:t xml:space="preserve">kadrosunda </w:t>
            </w:r>
            <w:r w:rsidRPr="000E16B4">
              <w:rPr>
                <w:rFonts w:eastAsia="Calibri"/>
                <w:sz w:val="24"/>
                <w:szCs w:val="24"/>
              </w:rPr>
              <w:t>kadro sayısı olarak yer alan “13” rakamı kaldırılmak ve yerine “14” rakamı konmak suretiyle değiştirilir.</w:t>
            </w:r>
          </w:p>
        </w:tc>
      </w:tr>
      <w:tr w:rsidR="007D267B" w:rsidRPr="00FA6DD6" w:rsidTr="000E16B4">
        <w:trPr>
          <w:trHeight w:val="80"/>
        </w:trPr>
        <w:tc>
          <w:tcPr>
            <w:tcW w:w="1668" w:type="dxa"/>
          </w:tcPr>
          <w:p w:rsidR="007D267B" w:rsidRPr="000E16B4" w:rsidRDefault="00A5216F" w:rsidP="007D267B">
            <w:pPr>
              <w:rPr>
                <w:sz w:val="24"/>
                <w:szCs w:val="24"/>
              </w:rPr>
            </w:pPr>
            <w:r w:rsidRPr="00A5216F">
              <w:rPr>
                <w:sz w:val="24"/>
                <w:szCs w:val="24"/>
              </w:rPr>
              <w:t>Cetvelin</w:t>
            </w:r>
          </w:p>
        </w:tc>
        <w:tc>
          <w:tcPr>
            <w:tcW w:w="425" w:type="dxa"/>
          </w:tcPr>
          <w:p w:rsidR="007D267B" w:rsidRDefault="007D267B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67B" w:rsidRDefault="007D267B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7D267B" w:rsidRDefault="007D267B" w:rsidP="000E16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7D267B" w:rsidRPr="000E16B4" w:rsidRDefault="007D267B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16B4" w:rsidRPr="00FA6DD6" w:rsidTr="000E16B4">
        <w:trPr>
          <w:trHeight w:val="80"/>
        </w:trPr>
        <w:tc>
          <w:tcPr>
            <w:tcW w:w="1668" w:type="dxa"/>
          </w:tcPr>
          <w:p w:rsidR="000E16B4" w:rsidRPr="00265A34" w:rsidRDefault="00186556" w:rsidP="000E16B4">
            <w:pPr>
              <w:jc w:val="both"/>
              <w:rPr>
                <w:sz w:val="24"/>
                <w:szCs w:val="24"/>
              </w:rPr>
            </w:pPr>
            <w:r w:rsidRPr="00186556">
              <w:rPr>
                <w:sz w:val="24"/>
                <w:szCs w:val="24"/>
              </w:rPr>
              <w:lastRenderedPageBreak/>
              <w:t>Değiştirilmesi</w:t>
            </w:r>
          </w:p>
        </w:tc>
        <w:tc>
          <w:tcPr>
            <w:tcW w:w="425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6B4" w:rsidRDefault="000E16B4" w:rsidP="000E16B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(B)</w:t>
            </w:r>
          </w:p>
        </w:tc>
        <w:tc>
          <w:tcPr>
            <w:tcW w:w="5953" w:type="dxa"/>
            <w:gridSpan w:val="2"/>
          </w:tcPr>
          <w:p w:rsidR="000E16B4" w:rsidRPr="000E16B4" w:rsidRDefault="000E16B4" w:rsidP="00A80D73">
            <w:pPr>
              <w:jc w:val="both"/>
              <w:rPr>
                <w:rFonts w:eastAsia="Calibri"/>
                <w:sz w:val="24"/>
                <w:szCs w:val="24"/>
              </w:rPr>
            </w:pPr>
            <w:r w:rsidRPr="000E16B4">
              <w:rPr>
                <w:rFonts w:eastAsia="Calibri"/>
                <w:sz w:val="24"/>
                <w:szCs w:val="24"/>
              </w:rPr>
              <w:t>Esas Yasa, 52’nci maddesin</w:t>
            </w:r>
            <w:r w:rsidR="00DF71FB">
              <w:rPr>
                <w:rFonts w:eastAsia="Calibri"/>
                <w:sz w:val="24"/>
                <w:szCs w:val="24"/>
              </w:rPr>
              <w:t xml:space="preserve">in </w:t>
            </w:r>
            <w:r w:rsidR="00DF71FB" w:rsidRPr="00DF71FB">
              <w:rPr>
                <w:rFonts w:eastAsia="Calibri"/>
                <w:sz w:val="24"/>
                <w:szCs w:val="24"/>
              </w:rPr>
              <w:t xml:space="preserve">(1)’inci fıkrasına bağlı, </w:t>
            </w:r>
            <w:proofErr w:type="spellStart"/>
            <w:r w:rsidRPr="000E16B4">
              <w:rPr>
                <w:rFonts w:eastAsia="Calibri"/>
                <w:sz w:val="24"/>
                <w:szCs w:val="24"/>
              </w:rPr>
              <w:t>III’üncü</w:t>
            </w:r>
            <w:proofErr w:type="spellEnd"/>
            <w:r w:rsidRPr="000E16B4">
              <w:rPr>
                <w:rFonts w:eastAsia="Calibri"/>
                <w:sz w:val="24"/>
                <w:szCs w:val="24"/>
              </w:rPr>
              <w:t xml:space="preserve"> Cetvelin sonunda yer alan</w:t>
            </w:r>
            <w:r w:rsidR="00A80D73">
              <w:rPr>
                <w:rFonts w:eastAsia="Calibri"/>
                <w:sz w:val="24"/>
                <w:szCs w:val="24"/>
              </w:rPr>
              <w:t>;</w:t>
            </w:r>
          </w:p>
        </w:tc>
      </w:tr>
      <w:tr w:rsidR="00A80D73" w:rsidRPr="00FA6DD6" w:rsidTr="00A80D73">
        <w:trPr>
          <w:trHeight w:val="80"/>
        </w:trPr>
        <w:tc>
          <w:tcPr>
            <w:tcW w:w="1668" w:type="dxa"/>
          </w:tcPr>
          <w:p w:rsidR="00A80D73" w:rsidRPr="00DF71FB" w:rsidRDefault="00A80D73" w:rsidP="000E1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80D73" w:rsidRDefault="00A80D73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D73" w:rsidRDefault="00A80D73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D73" w:rsidRDefault="00A80D73" w:rsidP="000E16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D73" w:rsidRPr="000E16B4" w:rsidRDefault="00A80D73" w:rsidP="00A26CA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(a)</w:t>
            </w:r>
          </w:p>
        </w:tc>
        <w:tc>
          <w:tcPr>
            <w:tcW w:w="5386" w:type="dxa"/>
          </w:tcPr>
          <w:p w:rsidR="00A80D73" w:rsidRPr="000E16B4" w:rsidRDefault="00A80D73" w:rsidP="00A80D73">
            <w:pPr>
              <w:jc w:val="both"/>
              <w:rPr>
                <w:rFonts w:eastAsia="Calibri"/>
                <w:sz w:val="24"/>
                <w:szCs w:val="24"/>
              </w:rPr>
            </w:pPr>
            <w:r w:rsidRPr="00A80D73">
              <w:rPr>
                <w:rFonts w:eastAsia="Calibri"/>
                <w:sz w:val="24"/>
                <w:szCs w:val="24"/>
              </w:rPr>
              <w:t xml:space="preserve">“152 Toplam”  </w:t>
            </w:r>
            <w:proofErr w:type="gramStart"/>
            <w:r w:rsidRPr="00A80D73">
              <w:rPr>
                <w:rFonts w:eastAsia="Calibri"/>
                <w:sz w:val="24"/>
                <w:szCs w:val="24"/>
              </w:rPr>
              <w:t>rakam  ve</w:t>
            </w:r>
            <w:proofErr w:type="gramEnd"/>
            <w:r w:rsidRPr="00A80D73">
              <w:rPr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A80D73">
              <w:rPr>
                <w:rFonts w:eastAsia="Calibri"/>
                <w:sz w:val="24"/>
                <w:szCs w:val="24"/>
              </w:rPr>
              <w:t>sözdizisi</w:t>
            </w:r>
            <w:proofErr w:type="spellEnd"/>
            <w:r w:rsidRPr="00A80D73">
              <w:rPr>
                <w:rFonts w:eastAsia="Calibri"/>
                <w:sz w:val="24"/>
                <w:szCs w:val="24"/>
              </w:rPr>
              <w:t xml:space="preserve"> kaldırılmak ve yerine “153 Toplam” rakam ve </w:t>
            </w:r>
            <w:proofErr w:type="spellStart"/>
            <w:r w:rsidRPr="00A80D73">
              <w:rPr>
                <w:rFonts w:eastAsia="Calibri"/>
                <w:sz w:val="24"/>
                <w:szCs w:val="24"/>
              </w:rPr>
              <w:t>sözdizisi</w:t>
            </w:r>
            <w:proofErr w:type="spellEnd"/>
            <w:r w:rsidRPr="00A80D73">
              <w:rPr>
                <w:rFonts w:eastAsia="Calibri"/>
                <w:sz w:val="24"/>
                <w:szCs w:val="24"/>
              </w:rPr>
              <w:t xml:space="preserve"> konmak</w:t>
            </w:r>
            <w:r w:rsidR="007E060F">
              <w:rPr>
                <w:rFonts w:eastAsia="Calibri"/>
                <w:sz w:val="24"/>
                <w:szCs w:val="24"/>
              </w:rPr>
              <w:t>;</w:t>
            </w:r>
            <w:r>
              <w:rPr>
                <w:rFonts w:eastAsia="Calibri"/>
                <w:sz w:val="24"/>
                <w:szCs w:val="24"/>
              </w:rPr>
              <w:t xml:space="preserve"> ve</w:t>
            </w:r>
          </w:p>
        </w:tc>
      </w:tr>
      <w:tr w:rsidR="00A80D73" w:rsidRPr="00FA6DD6" w:rsidTr="00A80D73">
        <w:trPr>
          <w:trHeight w:val="80"/>
        </w:trPr>
        <w:tc>
          <w:tcPr>
            <w:tcW w:w="1668" w:type="dxa"/>
          </w:tcPr>
          <w:p w:rsidR="00A80D73" w:rsidRPr="00DF71FB" w:rsidRDefault="00A80D73" w:rsidP="000E1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80D73" w:rsidRDefault="00A80D73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D73" w:rsidRDefault="00A80D73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D73" w:rsidRDefault="00A80D73" w:rsidP="000E16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D73" w:rsidRDefault="00A80D73" w:rsidP="00A26CA7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(b)</w:t>
            </w:r>
          </w:p>
        </w:tc>
        <w:tc>
          <w:tcPr>
            <w:tcW w:w="5386" w:type="dxa"/>
          </w:tcPr>
          <w:p w:rsidR="00A80D73" w:rsidRPr="00A80D73" w:rsidRDefault="00A80D73" w:rsidP="00A80D73">
            <w:pPr>
              <w:jc w:val="both"/>
              <w:rPr>
                <w:rFonts w:eastAsia="Calibri"/>
                <w:sz w:val="24"/>
                <w:szCs w:val="24"/>
              </w:rPr>
            </w:pPr>
            <w:r w:rsidRPr="00A80D73">
              <w:rPr>
                <w:rFonts w:eastAsia="Calibri"/>
                <w:sz w:val="24"/>
                <w:szCs w:val="24"/>
              </w:rPr>
              <w:t xml:space="preserve">“192 Genel Toplam” rakam ve </w:t>
            </w:r>
            <w:proofErr w:type="spellStart"/>
            <w:r w:rsidRPr="00A80D73">
              <w:rPr>
                <w:rFonts w:eastAsia="Calibri"/>
                <w:sz w:val="24"/>
                <w:szCs w:val="24"/>
              </w:rPr>
              <w:t>sözdi</w:t>
            </w:r>
            <w:r>
              <w:rPr>
                <w:rFonts w:eastAsia="Calibri"/>
                <w:sz w:val="24"/>
                <w:szCs w:val="24"/>
              </w:rPr>
              <w:t>si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</w:t>
            </w:r>
            <w:r w:rsidRPr="00A80D73">
              <w:rPr>
                <w:rFonts w:eastAsia="Calibri"/>
                <w:sz w:val="24"/>
                <w:szCs w:val="24"/>
              </w:rPr>
              <w:t>kaldırılmak ve yer</w:t>
            </w:r>
            <w:r>
              <w:rPr>
                <w:rFonts w:eastAsia="Calibri"/>
                <w:sz w:val="24"/>
                <w:szCs w:val="24"/>
              </w:rPr>
              <w:t xml:space="preserve">ine </w:t>
            </w:r>
            <w:r w:rsidRPr="00A80D73">
              <w:rPr>
                <w:rFonts w:eastAsia="Calibri"/>
                <w:sz w:val="24"/>
                <w:szCs w:val="24"/>
              </w:rPr>
              <w:t xml:space="preserve">“193 Genel Toplam” rakam ve </w:t>
            </w:r>
            <w:proofErr w:type="spellStart"/>
            <w:r w:rsidRPr="00A80D73">
              <w:rPr>
                <w:rFonts w:eastAsia="Calibri"/>
                <w:sz w:val="24"/>
                <w:szCs w:val="24"/>
              </w:rPr>
              <w:t>sözdiz</w:t>
            </w:r>
            <w:r>
              <w:rPr>
                <w:rFonts w:eastAsia="Calibri"/>
                <w:sz w:val="24"/>
                <w:szCs w:val="24"/>
              </w:rPr>
              <w:t>isi</w:t>
            </w:r>
            <w:proofErr w:type="spellEnd"/>
            <w:r w:rsidRPr="00A80D73">
              <w:rPr>
                <w:rFonts w:eastAsia="Calibri"/>
                <w:sz w:val="24"/>
                <w:szCs w:val="24"/>
              </w:rPr>
              <w:t xml:space="preserve"> konmak</w:t>
            </w:r>
          </w:p>
        </w:tc>
      </w:tr>
      <w:tr w:rsidR="00A80D73" w:rsidRPr="00FA6DD6" w:rsidTr="00B27C3D">
        <w:trPr>
          <w:trHeight w:val="80"/>
        </w:trPr>
        <w:tc>
          <w:tcPr>
            <w:tcW w:w="1668" w:type="dxa"/>
          </w:tcPr>
          <w:p w:rsidR="00A80D73" w:rsidRPr="00DF71FB" w:rsidRDefault="00A80D73" w:rsidP="000E16B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A80D73" w:rsidRDefault="00A80D73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D73" w:rsidRDefault="00A80D73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A80D73" w:rsidRDefault="00A80D73" w:rsidP="000E16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A80D73" w:rsidRPr="00A80D73" w:rsidRDefault="00A80D73" w:rsidP="00A80D73">
            <w:pPr>
              <w:jc w:val="both"/>
              <w:rPr>
                <w:rFonts w:eastAsia="Calibri"/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</w:rPr>
              <w:t>suretiyle</w:t>
            </w:r>
            <w:proofErr w:type="gramEnd"/>
            <w:r>
              <w:rPr>
                <w:rFonts w:eastAsia="Calibri"/>
                <w:sz w:val="24"/>
                <w:szCs w:val="24"/>
              </w:rPr>
              <w:t xml:space="preserve"> değiştirilir.</w:t>
            </w:r>
          </w:p>
        </w:tc>
      </w:tr>
      <w:tr w:rsidR="000E16B4" w:rsidRPr="00FA6DD6" w:rsidTr="000E16B4">
        <w:trPr>
          <w:trHeight w:val="80"/>
        </w:trPr>
        <w:tc>
          <w:tcPr>
            <w:tcW w:w="1668" w:type="dxa"/>
          </w:tcPr>
          <w:p w:rsidR="000E16B4" w:rsidRPr="00265A34" w:rsidRDefault="000E16B4" w:rsidP="00265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6B4" w:rsidRDefault="000E16B4" w:rsidP="000E16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953" w:type="dxa"/>
            <w:gridSpan w:val="2"/>
          </w:tcPr>
          <w:p w:rsidR="000E16B4" w:rsidRP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BD245C" w:rsidRDefault="00BD245C">
      <w:r>
        <w:br w:type="page"/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1668"/>
        <w:gridCol w:w="425"/>
        <w:gridCol w:w="567"/>
        <w:gridCol w:w="425"/>
        <w:gridCol w:w="709"/>
        <w:gridCol w:w="5386"/>
      </w:tblGrid>
      <w:tr w:rsidR="000E16B4" w:rsidRPr="00FA6DD6" w:rsidTr="00A10A6D">
        <w:trPr>
          <w:trHeight w:val="80"/>
        </w:trPr>
        <w:tc>
          <w:tcPr>
            <w:tcW w:w="1668" w:type="dxa"/>
          </w:tcPr>
          <w:p w:rsidR="000E16B4" w:rsidRPr="00265A34" w:rsidRDefault="000E16B4" w:rsidP="00265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(2)</w:t>
            </w:r>
          </w:p>
        </w:tc>
        <w:tc>
          <w:tcPr>
            <w:tcW w:w="6520" w:type="dxa"/>
            <w:gridSpan w:val="3"/>
          </w:tcPr>
          <w:p w:rsidR="000E16B4" w:rsidRDefault="000E16B4" w:rsidP="007E060F">
            <w:pPr>
              <w:jc w:val="both"/>
              <w:rPr>
                <w:rFonts w:eastAsia="Calibri"/>
                <w:sz w:val="24"/>
                <w:szCs w:val="24"/>
              </w:rPr>
            </w:pPr>
            <w:r w:rsidRPr="000E16B4">
              <w:rPr>
                <w:rFonts w:eastAsia="Calibri"/>
                <w:sz w:val="24"/>
                <w:szCs w:val="24"/>
              </w:rPr>
              <w:t xml:space="preserve">Esas Yasa, 52’nci maddesinin (1)’inci fıkrasına bağlı </w:t>
            </w:r>
            <w:proofErr w:type="spellStart"/>
            <w:r w:rsidRPr="000E16B4">
              <w:rPr>
                <w:rFonts w:eastAsia="Calibri"/>
                <w:sz w:val="24"/>
                <w:szCs w:val="24"/>
              </w:rPr>
              <w:t>IV’üncü</w:t>
            </w:r>
            <w:proofErr w:type="spellEnd"/>
            <w:r w:rsidRPr="000E16B4">
              <w:rPr>
                <w:rFonts w:eastAsia="Calibri"/>
                <w:sz w:val="24"/>
                <w:szCs w:val="24"/>
              </w:rPr>
              <w:t xml:space="preserve"> Cetvelde yer alan “</w:t>
            </w:r>
            <w:r w:rsidR="00CE37A5">
              <w:rPr>
                <w:rFonts w:eastAsia="Calibri"/>
                <w:sz w:val="24"/>
                <w:szCs w:val="24"/>
              </w:rPr>
              <w:t>III.</w:t>
            </w:r>
            <w:r w:rsidR="007E060F">
              <w:rPr>
                <w:rFonts w:eastAsia="Calibri"/>
                <w:sz w:val="24"/>
                <w:szCs w:val="24"/>
              </w:rPr>
              <w:t xml:space="preserve"> </w:t>
            </w:r>
            <w:r w:rsidR="00CE37A5">
              <w:rPr>
                <w:rFonts w:eastAsia="Calibri"/>
                <w:sz w:val="24"/>
                <w:szCs w:val="24"/>
              </w:rPr>
              <w:t xml:space="preserve">Derece </w:t>
            </w:r>
            <w:r w:rsidRPr="000E16B4">
              <w:rPr>
                <w:rFonts w:eastAsia="Calibri"/>
                <w:sz w:val="24"/>
                <w:szCs w:val="24"/>
              </w:rPr>
              <w:t>Şube Bölge Müdürü” Kadro Hizmet Şemasının “II.</w:t>
            </w:r>
            <w:r w:rsidR="007E060F">
              <w:rPr>
                <w:rFonts w:eastAsia="Calibri"/>
                <w:sz w:val="24"/>
                <w:szCs w:val="24"/>
              </w:rPr>
              <w:t xml:space="preserve"> </w:t>
            </w:r>
            <w:r w:rsidRPr="000E16B4">
              <w:rPr>
                <w:rFonts w:eastAsia="Calibri"/>
                <w:sz w:val="24"/>
                <w:szCs w:val="24"/>
              </w:rPr>
              <w:t>ARANAN NİTELİKLER” kısmının (1)’inci fıkrası kaldırılmak ve yerine aşağıdaki yeni (1)’inci fıkra konmak suretiyle değiştirilir:</w:t>
            </w:r>
          </w:p>
        </w:tc>
      </w:tr>
      <w:tr w:rsidR="000E16B4" w:rsidRPr="00FA6DD6" w:rsidTr="00A10A6D">
        <w:trPr>
          <w:trHeight w:val="80"/>
        </w:trPr>
        <w:tc>
          <w:tcPr>
            <w:tcW w:w="1668" w:type="dxa"/>
          </w:tcPr>
          <w:p w:rsidR="000E16B4" w:rsidRPr="00265A34" w:rsidRDefault="000E16B4" w:rsidP="00265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6520" w:type="dxa"/>
            <w:gridSpan w:val="3"/>
          </w:tcPr>
          <w:p w:rsidR="000E16B4" w:rsidRP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16B4" w:rsidRPr="00FA6DD6" w:rsidTr="000E16B4">
        <w:trPr>
          <w:trHeight w:val="80"/>
        </w:trPr>
        <w:tc>
          <w:tcPr>
            <w:tcW w:w="1668" w:type="dxa"/>
          </w:tcPr>
          <w:p w:rsidR="000E16B4" w:rsidRPr="00265A34" w:rsidRDefault="007B0BB4" w:rsidP="00265A34">
            <w:pPr>
              <w:jc w:val="both"/>
              <w:rPr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425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0E16B4" w:rsidRDefault="000E16B4" w:rsidP="000E16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“(1)</w:t>
            </w:r>
          </w:p>
        </w:tc>
        <w:tc>
          <w:tcPr>
            <w:tcW w:w="5386" w:type="dxa"/>
          </w:tcPr>
          <w:p w:rsidR="000E16B4" w:rsidRDefault="009D091C" w:rsidP="007E060F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Herhangi bir</w:t>
            </w:r>
            <w:r w:rsidR="000E16B4" w:rsidRPr="000E16B4">
              <w:rPr>
                <w:rFonts w:eastAsia="Calibri"/>
                <w:sz w:val="24"/>
                <w:szCs w:val="24"/>
              </w:rPr>
              <w:t xml:space="preserve"> üniversite veya dört yıllık dengi bir yüksekokul bitirmiş olmak ve Sivil Savunma İdari Hizmetler Sınıfı </w:t>
            </w:r>
            <w:proofErr w:type="gramStart"/>
            <w:r w:rsidR="000E16B4" w:rsidRPr="000E16B4">
              <w:rPr>
                <w:rFonts w:eastAsia="Calibri"/>
                <w:sz w:val="24"/>
                <w:szCs w:val="24"/>
              </w:rPr>
              <w:t>I</w:t>
            </w:r>
            <w:r w:rsidR="007E060F">
              <w:rPr>
                <w:rFonts w:eastAsia="Calibri"/>
                <w:sz w:val="24"/>
                <w:szCs w:val="24"/>
              </w:rPr>
              <w:t xml:space="preserve"> </w:t>
            </w:r>
            <w:r w:rsidR="000E16B4" w:rsidRPr="000E16B4">
              <w:rPr>
                <w:rFonts w:eastAsia="Calibri"/>
                <w:sz w:val="24"/>
                <w:szCs w:val="24"/>
              </w:rPr>
              <w:t>.Derece</w:t>
            </w:r>
            <w:proofErr w:type="gramEnd"/>
            <w:r w:rsidR="000E16B4" w:rsidRPr="000E16B4">
              <w:rPr>
                <w:rFonts w:eastAsia="Calibri"/>
                <w:sz w:val="24"/>
                <w:szCs w:val="24"/>
              </w:rPr>
              <w:t xml:space="preserve"> Kısım Amiri kadrosunda en az üç yıl çalışmış olmak.</w:t>
            </w:r>
            <w:r w:rsidR="007E060F">
              <w:rPr>
                <w:rFonts w:eastAsia="Calibri"/>
                <w:sz w:val="24"/>
                <w:szCs w:val="24"/>
              </w:rPr>
              <w:t>”</w:t>
            </w:r>
          </w:p>
        </w:tc>
      </w:tr>
      <w:tr w:rsidR="000E16B4" w:rsidRPr="00FA6DD6" w:rsidTr="000E16B4">
        <w:trPr>
          <w:trHeight w:val="80"/>
        </w:trPr>
        <w:tc>
          <w:tcPr>
            <w:tcW w:w="1668" w:type="dxa"/>
          </w:tcPr>
          <w:p w:rsidR="000E16B4" w:rsidRPr="00265A34" w:rsidRDefault="000E16B4" w:rsidP="00265A3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67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25" w:type="dxa"/>
          </w:tcPr>
          <w:p w:rsidR="000E16B4" w:rsidRDefault="000E16B4" w:rsidP="000E16B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709" w:type="dxa"/>
          </w:tcPr>
          <w:p w:rsid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386" w:type="dxa"/>
          </w:tcPr>
          <w:p w:rsidR="000E16B4" w:rsidRPr="000E16B4" w:rsidRDefault="000E16B4" w:rsidP="00265A34">
            <w:pPr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0E16B4" w:rsidRPr="00FA6DD6" w:rsidTr="002E6A93">
        <w:trPr>
          <w:trHeight w:val="80"/>
        </w:trPr>
        <w:tc>
          <w:tcPr>
            <w:tcW w:w="1668" w:type="dxa"/>
          </w:tcPr>
          <w:p w:rsidR="000E16B4" w:rsidRPr="000E16B4" w:rsidRDefault="000E16B4" w:rsidP="000E16B4">
            <w:pPr>
              <w:jc w:val="both"/>
              <w:rPr>
                <w:sz w:val="24"/>
                <w:szCs w:val="24"/>
              </w:rPr>
            </w:pPr>
            <w:r w:rsidRPr="000E16B4">
              <w:rPr>
                <w:sz w:val="24"/>
                <w:szCs w:val="24"/>
              </w:rPr>
              <w:t>Yürürlüğe</w:t>
            </w:r>
          </w:p>
          <w:p w:rsidR="000E16B4" w:rsidRPr="00265A34" w:rsidRDefault="000E16B4" w:rsidP="000E16B4">
            <w:pPr>
              <w:jc w:val="both"/>
              <w:rPr>
                <w:sz w:val="24"/>
                <w:szCs w:val="24"/>
              </w:rPr>
            </w:pPr>
            <w:r w:rsidRPr="000E16B4">
              <w:rPr>
                <w:sz w:val="24"/>
                <w:szCs w:val="24"/>
              </w:rPr>
              <w:t>Giriş</w:t>
            </w:r>
          </w:p>
        </w:tc>
        <w:tc>
          <w:tcPr>
            <w:tcW w:w="7512" w:type="dxa"/>
            <w:gridSpan w:val="5"/>
          </w:tcPr>
          <w:p w:rsidR="000E16B4" w:rsidRPr="000E16B4" w:rsidRDefault="00B05EC6" w:rsidP="001F76B9">
            <w:pPr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3. </w:t>
            </w:r>
            <w:r w:rsidR="001542F5" w:rsidRPr="001542F5">
              <w:rPr>
                <w:rFonts w:eastAsia="Calibri"/>
                <w:sz w:val="24"/>
                <w:szCs w:val="24"/>
              </w:rPr>
              <w:t xml:space="preserve">Bu Yasanın 2’nci maddesinin (1)’inci fıkra kuralları Resmi </w:t>
            </w:r>
            <w:proofErr w:type="spellStart"/>
            <w:r w:rsidR="001542F5" w:rsidRPr="001542F5">
              <w:rPr>
                <w:rFonts w:eastAsia="Calibri"/>
                <w:sz w:val="24"/>
                <w:szCs w:val="24"/>
              </w:rPr>
              <w:t>Gazete’de</w:t>
            </w:r>
            <w:proofErr w:type="spellEnd"/>
            <w:r w:rsidR="001542F5" w:rsidRPr="001542F5">
              <w:rPr>
                <w:rFonts w:eastAsia="Calibri"/>
                <w:sz w:val="24"/>
                <w:szCs w:val="24"/>
              </w:rPr>
              <w:t xml:space="preserve"> yayımlandığı tarihten, (2)’</w:t>
            </w:r>
            <w:proofErr w:type="spellStart"/>
            <w:r w:rsidR="001542F5" w:rsidRPr="001542F5">
              <w:rPr>
                <w:rFonts w:eastAsia="Calibri"/>
                <w:sz w:val="24"/>
                <w:szCs w:val="24"/>
              </w:rPr>
              <w:t>nci</w:t>
            </w:r>
            <w:proofErr w:type="spellEnd"/>
            <w:r w:rsidR="001542F5" w:rsidRPr="001542F5">
              <w:rPr>
                <w:rFonts w:eastAsia="Calibri"/>
                <w:sz w:val="24"/>
                <w:szCs w:val="24"/>
              </w:rPr>
              <w:t xml:space="preserve"> fıkra kuralları ise 31 Aralık 2020 tarihinden başlayarak yürürlüğe girer.</w:t>
            </w:r>
          </w:p>
        </w:tc>
      </w:tr>
    </w:tbl>
    <w:p w:rsidR="00E814F5" w:rsidRPr="00265A34" w:rsidRDefault="00E814F5" w:rsidP="00265A34">
      <w:pPr>
        <w:jc w:val="center"/>
        <w:rPr>
          <w:b/>
          <w:sz w:val="24"/>
          <w:szCs w:val="24"/>
        </w:rPr>
      </w:pPr>
    </w:p>
    <w:p w:rsidR="00E814F5" w:rsidRPr="00265A34" w:rsidRDefault="00E814F5" w:rsidP="00265A34">
      <w:pPr>
        <w:jc w:val="both"/>
        <w:rPr>
          <w:sz w:val="24"/>
          <w:szCs w:val="24"/>
        </w:rPr>
      </w:pPr>
    </w:p>
    <w:sectPr w:rsidR="00E814F5" w:rsidRPr="00265A34" w:rsidSect="000E16B4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D2A" w:rsidRDefault="00824D2A" w:rsidP="000E16B4">
      <w:r>
        <w:separator/>
      </w:r>
    </w:p>
  </w:endnote>
  <w:endnote w:type="continuationSeparator" w:id="0">
    <w:p w:rsidR="00824D2A" w:rsidRDefault="00824D2A" w:rsidP="000E1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3370328"/>
      <w:docPartObj>
        <w:docPartGallery w:val="Page Numbers (Bottom of Page)"/>
        <w:docPartUnique/>
      </w:docPartObj>
    </w:sdtPr>
    <w:sdtEndPr/>
    <w:sdtContent>
      <w:p w:rsidR="000E16B4" w:rsidRDefault="000E16B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8D0">
          <w:rPr>
            <w:noProof/>
          </w:rPr>
          <w:t>2</w:t>
        </w:r>
        <w:r>
          <w:fldChar w:fldCharType="end"/>
        </w:r>
      </w:p>
    </w:sdtContent>
  </w:sdt>
  <w:p w:rsidR="000E16B4" w:rsidRDefault="000E1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D2A" w:rsidRDefault="00824D2A" w:rsidP="000E16B4">
      <w:r>
        <w:separator/>
      </w:r>
    </w:p>
  </w:footnote>
  <w:footnote w:type="continuationSeparator" w:id="0">
    <w:p w:rsidR="00824D2A" w:rsidRDefault="00824D2A" w:rsidP="000E1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24C2"/>
    <w:multiLevelType w:val="hybridMultilevel"/>
    <w:tmpl w:val="BA60788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C71F6C"/>
    <w:multiLevelType w:val="hybridMultilevel"/>
    <w:tmpl w:val="3F1696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4F5"/>
    <w:rsid w:val="000E16B4"/>
    <w:rsid w:val="000F5F3D"/>
    <w:rsid w:val="001158FA"/>
    <w:rsid w:val="001542F5"/>
    <w:rsid w:val="00186556"/>
    <w:rsid w:val="001F76B9"/>
    <w:rsid w:val="00221B2C"/>
    <w:rsid w:val="0025434B"/>
    <w:rsid w:val="00263396"/>
    <w:rsid w:val="00265A34"/>
    <w:rsid w:val="00324837"/>
    <w:rsid w:val="0043781C"/>
    <w:rsid w:val="00456599"/>
    <w:rsid w:val="004B3355"/>
    <w:rsid w:val="004B5646"/>
    <w:rsid w:val="004C0E89"/>
    <w:rsid w:val="004C4325"/>
    <w:rsid w:val="00522E38"/>
    <w:rsid w:val="005B2C1D"/>
    <w:rsid w:val="005F42B1"/>
    <w:rsid w:val="006072B2"/>
    <w:rsid w:val="006C0953"/>
    <w:rsid w:val="006F4CB7"/>
    <w:rsid w:val="00780700"/>
    <w:rsid w:val="007A6090"/>
    <w:rsid w:val="007B0BB4"/>
    <w:rsid w:val="007C4510"/>
    <w:rsid w:val="007C66A7"/>
    <w:rsid w:val="007D267B"/>
    <w:rsid w:val="007E060F"/>
    <w:rsid w:val="00824D2A"/>
    <w:rsid w:val="008402CD"/>
    <w:rsid w:val="008A3958"/>
    <w:rsid w:val="008A3E69"/>
    <w:rsid w:val="008A6FEB"/>
    <w:rsid w:val="008B08D0"/>
    <w:rsid w:val="009145C2"/>
    <w:rsid w:val="00936152"/>
    <w:rsid w:val="00965EC0"/>
    <w:rsid w:val="009B7500"/>
    <w:rsid w:val="009D091C"/>
    <w:rsid w:val="00A24BB1"/>
    <w:rsid w:val="00A26CA7"/>
    <w:rsid w:val="00A5216F"/>
    <w:rsid w:val="00A529F9"/>
    <w:rsid w:val="00A80D73"/>
    <w:rsid w:val="00A9356F"/>
    <w:rsid w:val="00B05EC6"/>
    <w:rsid w:val="00BA26A0"/>
    <w:rsid w:val="00BB1F45"/>
    <w:rsid w:val="00BC1808"/>
    <w:rsid w:val="00BD245C"/>
    <w:rsid w:val="00C119A5"/>
    <w:rsid w:val="00C32FB5"/>
    <w:rsid w:val="00C55583"/>
    <w:rsid w:val="00C9116B"/>
    <w:rsid w:val="00CD28C7"/>
    <w:rsid w:val="00CD2CAC"/>
    <w:rsid w:val="00CE37A5"/>
    <w:rsid w:val="00D8113E"/>
    <w:rsid w:val="00DF71FB"/>
    <w:rsid w:val="00E814F5"/>
    <w:rsid w:val="00E878B7"/>
    <w:rsid w:val="00EA262F"/>
    <w:rsid w:val="00EC10DC"/>
    <w:rsid w:val="00ED3800"/>
    <w:rsid w:val="00FA6D50"/>
    <w:rsid w:val="00FB7B86"/>
    <w:rsid w:val="00FC3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6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B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E1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B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4F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E16B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6B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0E16B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6B4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4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349</Words>
  <Characters>1992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SAYKIN</dc:creator>
  <cp:lastModifiedBy>guliz.avkan</cp:lastModifiedBy>
  <cp:revision>7</cp:revision>
  <cp:lastPrinted>2020-01-27T22:54:00Z</cp:lastPrinted>
  <dcterms:created xsi:type="dcterms:W3CDTF">2020-01-17T21:25:00Z</dcterms:created>
  <dcterms:modified xsi:type="dcterms:W3CDTF">2020-03-05T19:39:00Z</dcterms:modified>
</cp:coreProperties>
</file>