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A4" w:rsidRPr="00B036E9" w:rsidRDefault="00E605A4">
      <w:pPr>
        <w:spacing w:after="200" w:line="276" w:lineRule="auto"/>
        <w:rPr>
          <w:sz w:val="24"/>
          <w:szCs w:val="24"/>
        </w:rPr>
      </w:pPr>
    </w:p>
    <w:tbl>
      <w:tblPr>
        <w:tblStyle w:val="TableGrid"/>
        <w:tblpPr w:leftFromText="141" w:rightFromText="141" w:vertAnchor="text" w:horzAnchor="margin" w:tblpXSpec="center" w:tblpY="80"/>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284"/>
        <w:gridCol w:w="713"/>
        <w:gridCol w:w="988"/>
        <w:gridCol w:w="7092"/>
      </w:tblGrid>
      <w:tr w:rsidR="00B036E9" w:rsidRPr="00B036E9" w:rsidTr="00E605A4">
        <w:trPr>
          <w:trHeight w:val="1278"/>
        </w:trPr>
        <w:tc>
          <w:tcPr>
            <w:tcW w:w="10881" w:type="dxa"/>
            <w:gridSpan w:val="5"/>
            <w:hideMark/>
          </w:tcPr>
          <w:p w:rsidR="00B036E9" w:rsidRPr="00E605A4" w:rsidRDefault="00E605A4" w:rsidP="00E605A4">
            <w:pPr>
              <w:spacing w:after="200" w:line="276" w:lineRule="auto"/>
              <w:jc w:val="both"/>
              <w:rPr>
                <w:snapToGrid w:val="0"/>
                <w:sz w:val="24"/>
                <w:szCs w:val="24"/>
              </w:rPr>
            </w:pPr>
            <w:r w:rsidRPr="00E605A4">
              <w:rPr>
                <w:rFonts w:eastAsia="Calibri"/>
                <w:sz w:val="24"/>
                <w:szCs w:val="24"/>
              </w:rPr>
              <w:t>Kuzey Kıbrıs Türk Cumhuriyeti Cumhuriyet Meclisi’nin 11 Kasım 2021 tarihli İkinci Olağanüstü Birleşiminde Oybirliğiyle kabul olunan “</w:t>
            </w:r>
            <w:r w:rsidRPr="00B036E9">
              <w:rPr>
                <w:sz w:val="24"/>
                <w:szCs w:val="24"/>
              </w:rPr>
              <w:t xml:space="preserve"> </w:t>
            </w:r>
            <w:r w:rsidRPr="00B036E9">
              <w:rPr>
                <w:sz w:val="24"/>
                <w:szCs w:val="24"/>
              </w:rPr>
              <w:t>Vasiyetnameler ve Veraset</w:t>
            </w:r>
            <w:r w:rsidRPr="00E605A4">
              <w:rPr>
                <w:rFonts w:eastAsia="Calibri"/>
                <w:sz w:val="24"/>
                <w:szCs w:val="24"/>
              </w:rPr>
              <w:t xml:space="preserve"> (Değişiklik) Yasası</w:t>
            </w:r>
            <w:r w:rsidRPr="00E605A4">
              <w:rPr>
                <w:snapToGrid w:val="0"/>
                <w:sz w:val="24"/>
                <w:szCs w:val="24"/>
              </w:rPr>
              <w:t>”</w:t>
            </w:r>
            <w:r w:rsidRPr="00E605A4">
              <w:rPr>
                <w:rFonts w:eastAsia="Calibri"/>
                <w:sz w:val="24"/>
                <w:szCs w:val="24"/>
              </w:rPr>
              <w:t xml:space="preserve"> Anayasanın 94'üncü maddesinin (1)'inci fıkrası gereğince Kuzey Kıbrıs Türk Cumhuriyeti Cumhurbaşkanı tarafından Resmi </w:t>
            </w:r>
            <w:proofErr w:type="spellStart"/>
            <w:r w:rsidRPr="00E605A4">
              <w:rPr>
                <w:rFonts w:eastAsia="Calibri"/>
                <w:sz w:val="24"/>
                <w:szCs w:val="24"/>
              </w:rPr>
              <w:t>Gazete'de</w:t>
            </w:r>
            <w:proofErr w:type="spellEnd"/>
            <w:r w:rsidRPr="00E605A4">
              <w:rPr>
                <w:rFonts w:eastAsia="Calibri"/>
                <w:sz w:val="24"/>
                <w:szCs w:val="24"/>
              </w:rPr>
              <w:t xml:space="preserve"> yayımlanmak suretiyle ilan olunur.</w:t>
            </w:r>
          </w:p>
        </w:tc>
      </w:tr>
      <w:tr w:rsidR="00E605A4" w:rsidRPr="00B036E9" w:rsidTr="007E3249">
        <w:tc>
          <w:tcPr>
            <w:tcW w:w="10881" w:type="dxa"/>
            <w:gridSpan w:val="5"/>
          </w:tcPr>
          <w:p w:rsidR="00E605A4" w:rsidRDefault="00E605A4" w:rsidP="00E605A4">
            <w:pPr>
              <w:ind w:right="200"/>
              <w:jc w:val="center"/>
              <w:rPr>
                <w:sz w:val="24"/>
                <w:szCs w:val="24"/>
              </w:rPr>
            </w:pPr>
            <w:r>
              <w:rPr>
                <w:sz w:val="24"/>
                <w:szCs w:val="24"/>
              </w:rPr>
              <w:t>Sayı: 21</w:t>
            </w:r>
          </w:p>
          <w:p w:rsidR="00E605A4" w:rsidRPr="00B036E9" w:rsidRDefault="00E605A4" w:rsidP="00E605A4">
            <w:pPr>
              <w:ind w:right="200"/>
              <w:jc w:val="center"/>
              <w:rPr>
                <w:sz w:val="24"/>
                <w:szCs w:val="24"/>
              </w:rPr>
            </w:pPr>
          </w:p>
        </w:tc>
      </w:tr>
      <w:tr w:rsidR="00E605A4" w:rsidRPr="00B036E9" w:rsidTr="007E3249">
        <w:tc>
          <w:tcPr>
            <w:tcW w:w="10881" w:type="dxa"/>
            <w:gridSpan w:val="5"/>
          </w:tcPr>
          <w:p w:rsidR="00E605A4" w:rsidRPr="00B036E9" w:rsidRDefault="00E605A4" w:rsidP="00A70FD1">
            <w:pPr>
              <w:ind w:right="200"/>
              <w:jc w:val="center"/>
              <w:rPr>
                <w:sz w:val="24"/>
                <w:szCs w:val="24"/>
              </w:rPr>
            </w:pPr>
            <w:r w:rsidRPr="00B036E9">
              <w:rPr>
                <w:sz w:val="24"/>
                <w:szCs w:val="24"/>
              </w:rPr>
              <w:t>VASİYETNAMEL</w:t>
            </w:r>
            <w:r>
              <w:rPr>
                <w:sz w:val="24"/>
                <w:szCs w:val="24"/>
              </w:rPr>
              <w:t>ER VE VERASET (DEĞİŞİKLİK) YASASI</w:t>
            </w:r>
          </w:p>
        </w:tc>
      </w:tr>
      <w:tr w:rsidR="00B036E9" w:rsidRPr="00B036E9" w:rsidTr="007E3249">
        <w:tc>
          <w:tcPr>
            <w:tcW w:w="10881" w:type="dxa"/>
            <w:gridSpan w:val="5"/>
          </w:tcPr>
          <w:p w:rsidR="00B036E9" w:rsidRPr="00B036E9" w:rsidRDefault="00B036E9">
            <w:pPr>
              <w:spacing w:before="100" w:beforeAutospacing="1" w:after="100" w:afterAutospacing="1"/>
              <w:ind w:left="426" w:hanging="426"/>
              <w:jc w:val="center"/>
              <w:rPr>
                <w:rFonts w:eastAsiaTheme="minorEastAsia"/>
                <w:sz w:val="24"/>
                <w:szCs w:val="24"/>
                <w:lang w:val="en-US" w:eastAsia="en-US"/>
              </w:rPr>
            </w:pPr>
          </w:p>
        </w:tc>
      </w:tr>
      <w:tr w:rsidR="00B036E9" w:rsidRPr="00B036E9" w:rsidTr="00D94265">
        <w:tc>
          <w:tcPr>
            <w:tcW w:w="1804" w:type="dxa"/>
          </w:tcPr>
          <w:p w:rsidR="00B036E9" w:rsidRPr="00B036E9" w:rsidRDefault="00B036E9">
            <w:pPr>
              <w:ind w:right="200"/>
              <w:jc w:val="center"/>
              <w:rPr>
                <w:rFonts w:eastAsiaTheme="minorEastAsia"/>
                <w:noProof/>
                <w:sz w:val="24"/>
                <w:szCs w:val="24"/>
                <w:lang w:val="en-US" w:eastAsia="en-US"/>
              </w:rPr>
            </w:pPr>
          </w:p>
        </w:tc>
        <w:tc>
          <w:tcPr>
            <w:tcW w:w="9077" w:type="dxa"/>
            <w:gridSpan w:val="4"/>
            <w:hideMark/>
          </w:tcPr>
          <w:p w:rsidR="00B036E9" w:rsidRPr="00B036E9" w:rsidRDefault="00D57DF2">
            <w:pPr>
              <w:rPr>
                <w:rFonts w:eastAsiaTheme="minorEastAsia"/>
                <w:sz w:val="24"/>
                <w:szCs w:val="24"/>
                <w:lang w:val="en-US" w:eastAsia="en-US"/>
              </w:rPr>
            </w:pPr>
            <w:r>
              <w:rPr>
                <w:noProof/>
                <w:sz w:val="24"/>
                <w:szCs w:val="24"/>
              </w:rPr>
              <w:t xml:space="preserve">       </w:t>
            </w:r>
            <w:r w:rsidR="00B036E9" w:rsidRPr="00B036E9">
              <w:rPr>
                <w:noProof/>
                <w:sz w:val="24"/>
                <w:szCs w:val="24"/>
              </w:rPr>
              <w:t>Kuzey Kıbrıs Türk Cumhuriyeti Cumhuriyet Meclisi aşağıdaki Yasayı yapar:</w:t>
            </w:r>
          </w:p>
        </w:tc>
      </w:tr>
      <w:tr w:rsidR="00B036E9" w:rsidRPr="00B036E9" w:rsidTr="00D94265">
        <w:tc>
          <w:tcPr>
            <w:tcW w:w="1804" w:type="dxa"/>
          </w:tcPr>
          <w:p w:rsidR="00B036E9" w:rsidRPr="00B036E9" w:rsidRDefault="00B036E9">
            <w:pPr>
              <w:ind w:right="200"/>
              <w:jc w:val="center"/>
              <w:rPr>
                <w:rFonts w:eastAsiaTheme="minorEastAsia"/>
                <w:noProof/>
                <w:sz w:val="24"/>
                <w:szCs w:val="24"/>
                <w:lang w:val="en-US" w:eastAsia="en-US"/>
              </w:rPr>
            </w:pPr>
          </w:p>
        </w:tc>
        <w:tc>
          <w:tcPr>
            <w:tcW w:w="9077" w:type="dxa"/>
            <w:gridSpan w:val="4"/>
          </w:tcPr>
          <w:p w:rsidR="00B036E9" w:rsidRPr="00B036E9" w:rsidRDefault="00B036E9">
            <w:pPr>
              <w:rPr>
                <w:rFonts w:eastAsiaTheme="minorEastAsia"/>
                <w:noProof/>
                <w:sz w:val="24"/>
                <w:szCs w:val="24"/>
                <w:lang w:val="en-US" w:eastAsia="en-US"/>
              </w:rPr>
            </w:pPr>
          </w:p>
        </w:tc>
      </w:tr>
      <w:tr w:rsidR="00B036E9" w:rsidRPr="00B036E9" w:rsidTr="00D94265">
        <w:tc>
          <w:tcPr>
            <w:tcW w:w="1804" w:type="dxa"/>
          </w:tcPr>
          <w:p w:rsidR="00B036E9" w:rsidRPr="00B036E9" w:rsidRDefault="00B036E9">
            <w:pPr>
              <w:tabs>
                <w:tab w:val="center" w:pos="695"/>
              </w:tabs>
              <w:ind w:right="200"/>
              <w:rPr>
                <w:noProof/>
                <w:sz w:val="24"/>
                <w:szCs w:val="24"/>
                <w:lang w:val="en-US"/>
              </w:rPr>
            </w:pPr>
            <w:r w:rsidRPr="00B036E9">
              <w:rPr>
                <w:noProof/>
                <w:sz w:val="24"/>
                <w:szCs w:val="24"/>
              </w:rPr>
              <w:t>Kısa İsim</w:t>
            </w:r>
          </w:p>
          <w:p w:rsidR="00B036E9" w:rsidRPr="00B036E9" w:rsidRDefault="00B036E9">
            <w:pPr>
              <w:ind w:right="200"/>
              <w:rPr>
                <w:noProof/>
                <w:sz w:val="24"/>
                <w:szCs w:val="24"/>
              </w:rPr>
            </w:pPr>
            <w:r w:rsidRPr="00B036E9">
              <w:rPr>
                <w:noProof/>
                <w:sz w:val="24"/>
                <w:szCs w:val="24"/>
              </w:rPr>
              <w:t xml:space="preserve">  Fasıl 195</w:t>
            </w:r>
          </w:p>
          <w:p w:rsidR="00B036E9" w:rsidRDefault="00B036E9" w:rsidP="00B0654C">
            <w:pPr>
              <w:ind w:right="200"/>
              <w:rPr>
                <w:noProof/>
                <w:sz w:val="24"/>
                <w:szCs w:val="24"/>
              </w:rPr>
            </w:pPr>
            <w:r w:rsidRPr="00B036E9">
              <w:rPr>
                <w:noProof/>
                <w:sz w:val="24"/>
                <w:szCs w:val="24"/>
              </w:rPr>
              <w:t xml:space="preserve">     10/1971</w:t>
            </w:r>
          </w:p>
          <w:p w:rsidR="00B0654C" w:rsidRPr="00B036E9" w:rsidRDefault="00B0654C" w:rsidP="00B0654C">
            <w:pPr>
              <w:ind w:right="200"/>
              <w:rPr>
                <w:rFonts w:eastAsiaTheme="minorEastAsia"/>
                <w:noProof/>
                <w:sz w:val="24"/>
                <w:szCs w:val="24"/>
                <w:lang w:val="en-US" w:eastAsia="en-US"/>
              </w:rPr>
            </w:pPr>
          </w:p>
        </w:tc>
        <w:tc>
          <w:tcPr>
            <w:tcW w:w="9077" w:type="dxa"/>
            <w:gridSpan w:val="4"/>
            <w:hideMark/>
          </w:tcPr>
          <w:p w:rsidR="00B036E9" w:rsidRPr="00B036E9" w:rsidRDefault="00B036E9">
            <w:pPr>
              <w:jc w:val="both"/>
              <w:rPr>
                <w:sz w:val="24"/>
                <w:szCs w:val="24"/>
                <w:lang w:eastAsia="en-US"/>
              </w:rPr>
            </w:pPr>
            <w:r w:rsidRPr="00B036E9">
              <w:rPr>
                <w:sz w:val="24"/>
                <w:szCs w:val="24"/>
              </w:rPr>
              <w:t>1. Bu Yasa, Vasiyetnameler ve Veraset (Değişiklik) Yasası olarak isimlendirilir ve aşağıda “Esas Yasa” olarak anılan Vasiyetnameler ve Veraset Yasası ile birlikte okunur.</w:t>
            </w:r>
          </w:p>
        </w:tc>
      </w:tr>
      <w:tr w:rsidR="00B036E9" w:rsidRPr="00B036E9" w:rsidTr="00D94265">
        <w:trPr>
          <w:trHeight w:val="734"/>
        </w:trPr>
        <w:tc>
          <w:tcPr>
            <w:tcW w:w="1804" w:type="dxa"/>
            <w:hideMark/>
          </w:tcPr>
          <w:p w:rsidR="00B036E9" w:rsidRPr="00B036E9" w:rsidRDefault="00B036E9">
            <w:pPr>
              <w:rPr>
                <w:rFonts w:eastAsiaTheme="minorEastAsia"/>
                <w:noProof/>
                <w:sz w:val="24"/>
                <w:szCs w:val="24"/>
                <w:lang w:val="en-US" w:eastAsia="en-US"/>
              </w:rPr>
            </w:pPr>
            <w:r w:rsidRPr="00B036E9">
              <w:rPr>
                <w:noProof/>
                <w:sz w:val="24"/>
                <w:szCs w:val="24"/>
              </w:rPr>
              <w:t>Esas Yasanın 7’nci  Maddesinin</w:t>
            </w:r>
          </w:p>
        </w:tc>
        <w:tc>
          <w:tcPr>
            <w:tcW w:w="9077" w:type="dxa"/>
            <w:gridSpan w:val="4"/>
            <w:hideMark/>
          </w:tcPr>
          <w:p w:rsidR="00B036E9" w:rsidRPr="00B036E9" w:rsidRDefault="00B036E9">
            <w:pPr>
              <w:ind w:right="108"/>
              <w:jc w:val="both"/>
              <w:rPr>
                <w:rFonts w:eastAsiaTheme="minorEastAsia"/>
                <w:sz w:val="24"/>
                <w:szCs w:val="24"/>
                <w:lang w:val="en-US" w:eastAsia="en-US"/>
              </w:rPr>
            </w:pPr>
            <w:r w:rsidRPr="00B036E9">
              <w:rPr>
                <w:sz w:val="24"/>
                <w:szCs w:val="24"/>
              </w:rPr>
              <w:t>2. Esas Yasa</w:t>
            </w:r>
            <w:r w:rsidR="004445D6">
              <w:rPr>
                <w:sz w:val="24"/>
                <w:szCs w:val="24"/>
              </w:rPr>
              <w:t>,</w:t>
            </w:r>
            <w:r w:rsidRPr="00B036E9">
              <w:rPr>
                <w:sz w:val="24"/>
                <w:szCs w:val="24"/>
              </w:rPr>
              <w:t xml:space="preserve"> 7’nci maddesi kaldırılmak ve yerine aşağıdaki yeni 7’nci madde konmak suretiyle değiştirilir:</w:t>
            </w:r>
          </w:p>
        </w:tc>
      </w:tr>
      <w:tr w:rsidR="00B036E9" w:rsidRPr="00B036E9" w:rsidTr="00D94265">
        <w:tc>
          <w:tcPr>
            <w:tcW w:w="1804" w:type="dxa"/>
            <w:hideMark/>
          </w:tcPr>
          <w:p w:rsidR="00B036E9" w:rsidRPr="00B036E9" w:rsidRDefault="00B036E9">
            <w:pPr>
              <w:rPr>
                <w:rFonts w:eastAsiaTheme="minorEastAsia"/>
                <w:noProof/>
                <w:sz w:val="24"/>
                <w:szCs w:val="24"/>
                <w:lang w:val="en-US" w:eastAsia="en-US"/>
              </w:rPr>
            </w:pPr>
            <w:r w:rsidRPr="00B036E9">
              <w:rPr>
                <w:noProof/>
                <w:sz w:val="24"/>
                <w:szCs w:val="24"/>
              </w:rPr>
              <w:t>Değiştirilmesi</w:t>
            </w:r>
          </w:p>
        </w:tc>
        <w:tc>
          <w:tcPr>
            <w:tcW w:w="284" w:type="dxa"/>
          </w:tcPr>
          <w:p w:rsidR="00B036E9" w:rsidRPr="00B036E9" w:rsidRDefault="00B036E9">
            <w:pPr>
              <w:ind w:right="108"/>
              <w:jc w:val="both"/>
              <w:rPr>
                <w:rFonts w:eastAsiaTheme="minorEastAsia"/>
                <w:sz w:val="24"/>
                <w:szCs w:val="24"/>
                <w:lang w:val="en-US" w:eastAsia="en-US"/>
              </w:rPr>
            </w:pPr>
          </w:p>
        </w:tc>
        <w:tc>
          <w:tcPr>
            <w:tcW w:w="1701" w:type="dxa"/>
            <w:gridSpan w:val="2"/>
            <w:hideMark/>
          </w:tcPr>
          <w:p w:rsidR="00B036E9" w:rsidRPr="00B036E9" w:rsidRDefault="00B036E9">
            <w:pPr>
              <w:ind w:right="108"/>
              <w:jc w:val="both"/>
              <w:rPr>
                <w:rFonts w:eastAsiaTheme="minorEastAsia"/>
                <w:sz w:val="24"/>
                <w:szCs w:val="24"/>
                <w:lang w:val="en-US" w:eastAsia="en-US"/>
              </w:rPr>
            </w:pPr>
            <w:r w:rsidRPr="00B036E9">
              <w:rPr>
                <w:sz w:val="24"/>
                <w:szCs w:val="24"/>
              </w:rPr>
              <w:t>“Çocuğun Doğumla Edinilen Devamlı İkamet Yeri</w:t>
            </w:r>
          </w:p>
        </w:tc>
        <w:tc>
          <w:tcPr>
            <w:tcW w:w="7092" w:type="dxa"/>
            <w:hideMark/>
          </w:tcPr>
          <w:p w:rsidR="00B036E9" w:rsidRPr="00B036E9" w:rsidRDefault="00B036E9">
            <w:pPr>
              <w:ind w:right="108"/>
              <w:jc w:val="both"/>
              <w:rPr>
                <w:rFonts w:eastAsiaTheme="minorEastAsia"/>
                <w:spacing w:val="-1"/>
                <w:sz w:val="24"/>
                <w:szCs w:val="24"/>
                <w:lang w:val="en-US" w:eastAsia="en-US"/>
              </w:rPr>
            </w:pPr>
            <w:r w:rsidRPr="00B036E9">
              <w:rPr>
                <w:rFonts w:eastAsiaTheme="minorEastAsia"/>
                <w:spacing w:val="-1"/>
                <w:sz w:val="24"/>
                <w:szCs w:val="24"/>
              </w:rPr>
              <w:t>7. Babası hayatta iken doğan çocuğun doğumla edinilen devamlı ikamet yeri, çocuk doğduğu zaman babasının devamlı ikamet yerinin olduğu yer olur.”</w:t>
            </w:r>
          </w:p>
        </w:tc>
      </w:tr>
      <w:tr w:rsidR="00B036E9" w:rsidRPr="00B036E9" w:rsidTr="00D94265">
        <w:tc>
          <w:tcPr>
            <w:tcW w:w="1804" w:type="dxa"/>
          </w:tcPr>
          <w:p w:rsidR="00B036E9" w:rsidRPr="00B036E9" w:rsidRDefault="00B036E9">
            <w:pPr>
              <w:spacing w:before="100" w:beforeAutospacing="1" w:after="100" w:afterAutospacing="1"/>
              <w:jc w:val="both"/>
              <w:rPr>
                <w:noProof/>
                <w:sz w:val="24"/>
                <w:szCs w:val="24"/>
                <w:lang w:val="en-US" w:eastAsia="en-US"/>
              </w:rPr>
            </w:pPr>
          </w:p>
        </w:tc>
        <w:tc>
          <w:tcPr>
            <w:tcW w:w="284" w:type="dxa"/>
          </w:tcPr>
          <w:p w:rsidR="00B036E9" w:rsidRPr="00B036E9" w:rsidRDefault="00B036E9">
            <w:pPr>
              <w:ind w:right="108"/>
              <w:jc w:val="both"/>
              <w:rPr>
                <w:rFonts w:eastAsiaTheme="minorEastAsia"/>
                <w:sz w:val="24"/>
                <w:szCs w:val="24"/>
                <w:lang w:val="en-US" w:eastAsia="en-US"/>
              </w:rPr>
            </w:pPr>
          </w:p>
        </w:tc>
        <w:tc>
          <w:tcPr>
            <w:tcW w:w="1701" w:type="dxa"/>
            <w:gridSpan w:val="2"/>
          </w:tcPr>
          <w:p w:rsidR="00B036E9" w:rsidRPr="00B036E9" w:rsidRDefault="00B036E9">
            <w:pPr>
              <w:ind w:right="108"/>
              <w:jc w:val="both"/>
              <w:rPr>
                <w:sz w:val="24"/>
                <w:szCs w:val="24"/>
                <w:lang w:val="en-US" w:eastAsia="en-US"/>
              </w:rPr>
            </w:pPr>
          </w:p>
        </w:tc>
        <w:tc>
          <w:tcPr>
            <w:tcW w:w="7092" w:type="dxa"/>
          </w:tcPr>
          <w:p w:rsidR="00B036E9" w:rsidRPr="00B036E9" w:rsidRDefault="00B036E9">
            <w:pPr>
              <w:ind w:right="108"/>
              <w:jc w:val="both"/>
              <w:rPr>
                <w:spacing w:val="-1"/>
                <w:sz w:val="24"/>
                <w:szCs w:val="24"/>
                <w:lang w:val="en-US" w:eastAsia="en-US"/>
              </w:rPr>
            </w:pPr>
          </w:p>
        </w:tc>
      </w:tr>
      <w:tr w:rsidR="00B036E9" w:rsidRPr="00B036E9" w:rsidTr="00D94265">
        <w:tc>
          <w:tcPr>
            <w:tcW w:w="1804" w:type="dxa"/>
            <w:hideMark/>
          </w:tcPr>
          <w:p w:rsidR="00B036E9" w:rsidRPr="00B036E9" w:rsidRDefault="00B036E9">
            <w:pPr>
              <w:rPr>
                <w:rFonts w:eastAsiaTheme="minorEastAsia"/>
                <w:noProof/>
                <w:sz w:val="24"/>
                <w:szCs w:val="24"/>
                <w:lang w:val="en-US" w:eastAsia="en-US"/>
              </w:rPr>
            </w:pPr>
            <w:r w:rsidRPr="00B036E9">
              <w:rPr>
                <w:sz w:val="24"/>
                <w:szCs w:val="24"/>
              </w:rPr>
              <w:t xml:space="preserve">Esas Yasanın 8’inci Maddesinin </w:t>
            </w:r>
          </w:p>
        </w:tc>
        <w:tc>
          <w:tcPr>
            <w:tcW w:w="9077" w:type="dxa"/>
            <w:gridSpan w:val="4"/>
            <w:hideMark/>
          </w:tcPr>
          <w:p w:rsidR="00B036E9" w:rsidRPr="00B036E9" w:rsidRDefault="00B036E9">
            <w:pPr>
              <w:ind w:right="108"/>
              <w:jc w:val="both"/>
              <w:rPr>
                <w:rFonts w:eastAsiaTheme="minorEastAsia"/>
                <w:sz w:val="24"/>
                <w:szCs w:val="24"/>
                <w:lang w:val="en-US" w:eastAsia="en-US"/>
              </w:rPr>
            </w:pPr>
            <w:r w:rsidRPr="00B036E9">
              <w:rPr>
                <w:sz w:val="24"/>
                <w:szCs w:val="24"/>
              </w:rPr>
              <w:t>3.  Esas Yasa</w:t>
            </w:r>
            <w:r w:rsidR="004445D6">
              <w:rPr>
                <w:sz w:val="24"/>
                <w:szCs w:val="24"/>
              </w:rPr>
              <w:t>,</w:t>
            </w:r>
            <w:r w:rsidRPr="00B036E9">
              <w:rPr>
                <w:sz w:val="24"/>
                <w:szCs w:val="24"/>
              </w:rPr>
              <w:t xml:space="preserve"> 8’inci maddesi kaldırılmak ve yerine aşağıdaki yeni 8’inci madde konmak suretiyle değiştirilir:</w:t>
            </w:r>
          </w:p>
        </w:tc>
      </w:tr>
      <w:tr w:rsidR="00B036E9" w:rsidRPr="00B036E9" w:rsidTr="00D94265">
        <w:tc>
          <w:tcPr>
            <w:tcW w:w="1804" w:type="dxa"/>
          </w:tcPr>
          <w:p w:rsidR="00B036E9" w:rsidRPr="00B036E9" w:rsidRDefault="00B036E9">
            <w:pPr>
              <w:rPr>
                <w:sz w:val="24"/>
                <w:szCs w:val="24"/>
                <w:lang w:val="en-US"/>
              </w:rPr>
            </w:pPr>
            <w:r w:rsidRPr="00B036E9">
              <w:rPr>
                <w:sz w:val="24"/>
                <w:szCs w:val="24"/>
              </w:rPr>
              <w:t>Değiştirilmesi</w:t>
            </w:r>
          </w:p>
          <w:p w:rsidR="00B036E9" w:rsidRPr="00B036E9" w:rsidRDefault="00B036E9">
            <w:pPr>
              <w:ind w:right="200"/>
              <w:jc w:val="center"/>
              <w:rPr>
                <w:rFonts w:eastAsiaTheme="minorEastAsia"/>
                <w:noProof/>
                <w:sz w:val="24"/>
                <w:szCs w:val="24"/>
                <w:lang w:val="en-US" w:eastAsia="en-US"/>
              </w:rPr>
            </w:pPr>
          </w:p>
        </w:tc>
        <w:tc>
          <w:tcPr>
            <w:tcW w:w="284" w:type="dxa"/>
          </w:tcPr>
          <w:p w:rsidR="00B036E9" w:rsidRPr="00B036E9" w:rsidRDefault="00B036E9">
            <w:pPr>
              <w:rPr>
                <w:rFonts w:eastAsiaTheme="minorEastAsia"/>
                <w:sz w:val="24"/>
                <w:szCs w:val="24"/>
                <w:lang w:val="en-US" w:eastAsia="en-US"/>
              </w:rPr>
            </w:pPr>
          </w:p>
        </w:tc>
        <w:tc>
          <w:tcPr>
            <w:tcW w:w="1701" w:type="dxa"/>
            <w:gridSpan w:val="2"/>
            <w:hideMark/>
          </w:tcPr>
          <w:p w:rsidR="00B036E9" w:rsidRPr="00B036E9" w:rsidRDefault="00B036E9">
            <w:pPr>
              <w:rPr>
                <w:sz w:val="24"/>
                <w:szCs w:val="24"/>
                <w:lang w:val="en-US"/>
              </w:rPr>
            </w:pPr>
            <w:r w:rsidRPr="00B036E9">
              <w:rPr>
                <w:sz w:val="24"/>
                <w:szCs w:val="24"/>
              </w:rPr>
              <w:t xml:space="preserve">“Babasının Ölümünden Sonra Doğan Çocuğun Doğumla Edinilen Devamlı İkamet </w:t>
            </w:r>
          </w:p>
          <w:p w:rsidR="00B036E9" w:rsidRPr="00B036E9" w:rsidRDefault="00B036E9">
            <w:pPr>
              <w:rPr>
                <w:sz w:val="24"/>
                <w:szCs w:val="24"/>
                <w:lang w:val="en-US" w:eastAsia="en-US"/>
              </w:rPr>
            </w:pPr>
            <w:r w:rsidRPr="00B036E9">
              <w:rPr>
                <w:sz w:val="24"/>
                <w:szCs w:val="24"/>
              </w:rPr>
              <w:t>Yeri</w:t>
            </w:r>
          </w:p>
        </w:tc>
        <w:tc>
          <w:tcPr>
            <w:tcW w:w="7092" w:type="dxa"/>
            <w:hideMark/>
          </w:tcPr>
          <w:p w:rsidR="00B036E9" w:rsidRPr="00B036E9" w:rsidRDefault="00B036E9">
            <w:pPr>
              <w:jc w:val="both"/>
              <w:rPr>
                <w:rFonts w:eastAsiaTheme="minorEastAsia"/>
                <w:sz w:val="24"/>
                <w:szCs w:val="24"/>
                <w:lang w:val="en-US" w:eastAsia="en-US"/>
              </w:rPr>
            </w:pPr>
            <w:r w:rsidRPr="00B036E9">
              <w:rPr>
                <w:rFonts w:eastAsiaTheme="minorEastAsia"/>
                <w:sz w:val="24"/>
                <w:szCs w:val="24"/>
              </w:rPr>
              <w:t>8. Babasının ölümünden sonra doğan çocuğun doğumla edinilen devamlı ikamet yeri, çocuk doğduğu zaman anasının devamlı ikamet yerinin aynı olur.”</w:t>
            </w:r>
          </w:p>
        </w:tc>
      </w:tr>
      <w:tr w:rsidR="00B0654C" w:rsidRPr="00B036E9" w:rsidTr="00D94265">
        <w:tc>
          <w:tcPr>
            <w:tcW w:w="1804" w:type="dxa"/>
          </w:tcPr>
          <w:p w:rsidR="00B0654C" w:rsidRPr="00B036E9" w:rsidRDefault="00B0654C">
            <w:pPr>
              <w:rPr>
                <w:sz w:val="24"/>
                <w:szCs w:val="24"/>
              </w:rPr>
            </w:pPr>
          </w:p>
        </w:tc>
        <w:tc>
          <w:tcPr>
            <w:tcW w:w="284" w:type="dxa"/>
          </w:tcPr>
          <w:p w:rsidR="00B0654C" w:rsidRPr="00B036E9" w:rsidRDefault="00B0654C">
            <w:pPr>
              <w:rPr>
                <w:rFonts w:eastAsiaTheme="minorEastAsia"/>
                <w:sz w:val="24"/>
                <w:szCs w:val="24"/>
                <w:lang w:val="en-US" w:eastAsia="en-US"/>
              </w:rPr>
            </w:pPr>
          </w:p>
        </w:tc>
        <w:tc>
          <w:tcPr>
            <w:tcW w:w="1701" w:type="dxa"/>
            <w:gridSpan w:val="2"/>
          </w:tcPr>
          <w:p w:rsidR="00B0654C" w:rsidRPr="00B036E9" w:rsidRDefault="00B0654C">
            <w:pPr>
              <w:rPr>
                <w:sz w:val="24"/>
                <w:szCs w:val="24"/>
              </w:rPr>
            </w:pPr>
          </w:p>
        </w:tc>
        <w:tc>
          <w:tcPr>
            <w:tcW w:w="7092" w:type="dxa"/>
          </w:tcPr>
          <w:p w:rsidR="00B0654C" w:rsidRPr="00B036E9" w:rsidRDefault="00B0654C">
            <w:pPr>
              <w:jc w:val="both"/>
              <w:rPr>
                <w:rFonts w:eastAsiaTheme="minorEastAsia"/>
                <w:sz w:val="24"/>
                <w:szCs w:val="24"/>
              </w:rPr>
            </w:pPr>
          </w:p>
        </w:tc>
      </w:tr>
      <w:tr w:rsidR="00D94265" w:rsidRPr="00B036E9" w:rsidTr="00D94265">
        <w:tc>
          <w:tcPr>
            <w:tcW w:w="1804" w:type="dxa"/>
          </w:tcPr>
          <w:p w:rsidR="00D94265" w:rsidRPr="00B036E9" w:rsidRDefault="00D94265" w:rsidP="00D94265">
            <w:pPr>
              <w:rPr>
                <w:sz w:val="24"/>
                <w:szCs w:val="24"/>
              </w:rPr>
            </w:pPr>
            <w:r w:rsidRPr="00B036E9">
              <w:rPr>
                <w:sz w:val="24"/>
                <w:szCs w:val="24"/>
              </w:rPr>
              <w:t xml:space="preserve">Esas Yasanın 46’ncı Maddesine Bağlı Birinci  </w:t>
            </w:r>
          </w:p>
        </w:tc>
        <w:tc>
          <w:tcPr>
            <w:tcW w:w="9077" w:type="dxa"/>
            <w:gridSpan w:val="4"/>
          </w:tcPr>
          <w:p w:rsidR="00D94265" w:rsidRPr="00B036E9" w:rsidRDefault="00D94265">
            <w:pPr>
              <w:jc w:val="both"/>
              <w:rPr>
                <w:rFonts w:eastAsiaTheme="minorEastAsia"/>
                <w:sz w:val="24"/>
                <w:szCs w:val="24"/>
              </w:rPr>
            </w:pPr>
            <w:r w:rsidRPr="00B036E9">
              <w:rPr>
                <w:sz w:val="24"/>
                <w:szCs w:val="24"/>
              </w:rPr>
              <w:t>4. Esas Yasa, 46’ncı maddesine bağlı Birinci Cetvelin “AKRABANIN TEVARÜS ETMESİ” başlığı altında “Birinci Sınıf Hak Sahipleri” bölümü altında yer alan (a) ve (b) fıkraları kaldırılmak ve yerine aşağıdaki yeni (a) ve (b) fıkraları konmak suretiyle değiştirilir:</w:t>
            </w:r>
          </w:p>
        </w:tc>
      </w:tr>
      <w:tr w:rsidR="00D94265" w:rsidRPr="00B036E9" w:rsidTr="00D94265">
        <w:tc>
          <w:tcPr>
            <w:tcW w:w="1804" w:type="dxa"/>
          </w:tcPr>
          <w:p w:rsidR="00D94265" w:rsidRPr="00B036E9" w:rsidRDefault="00D94265">
            <w:pPr>
              <w:rPr>
                <w:sz w:val="24"/>
                <w:szCs w:val="24"/>
              </w:rPr>
            </w:pPr>
            <w:r w:rsidRPr="00B036E9">
              <w:rPr>
                <w:sz w:val="24"/>
                <w:szCs w:val="24"/>
              </w:rPr>
              <w:t>Cetvelin</w:t>
            </w:r>
          </w:p>
        </w:tc>
        <w:tc>
          <w:tcPr>
            <w:tcW w:w="284" w:type="dxa"/>
          </w:tcPr>
          <w:p w:rsidR="00D94265" w:rsidRPr="00B036E9" w:rsidRDefault="00D94265">
            <w:pPr>
              <w:rPr>
                <w:rFonts w:eastAsiaTheme="minorEastAsia"/>
                <w:sz w:val="24"/>
                <w:szCs w:val="24"/>
                <w:lang w:val="en-US" w:eastAsia="en-US"/>
              </w:rPr>
            </w:pPr>
          </w:p>
        </w:tc>
        <w:tc>
          <w:tcPr>
            <w:tcW w:w="713" w:type="dxa"/>
          </w:tcPr>
          <w:p w:rsidR="00D94265" w:rsidRPr="00B036E9" w:rsidRDefault="00D94265">
            <w:pPr>
              <w:rPr>
                <w:sz w:val="24"/>
                <w:szCs w:val="24"/>
              </w:rPr>
            </w:pPr>
          </w:p>
        </w:tc>
        <w:tc>
          <w:tcPr>
            <w:tcW w:w="8080" w:type="dxa"/>
            <w:gridSpan w:val="2"/>
          </w:tcPr>
          <w:p w:rsidR="00D94265" w:rsidRPr="00B036E9" w:rsidRDefault="00D94265">
            <w:pPr>
              <w:jc w:val="both"/>
              <w:rPr>
                <w:rFonts w:eastAsiaTheme="minorEastAsia"/>
                <w:sz w:val="24"/>
                <w:szCs w:val="24"/>
              </w:rPr>
            </w:pPr>
          </w:p>
        </w:tc>
      </w:tr>
      <w:tr w:rsidR="00D94265" w:rsidRPr="00B036E9" w:rsidTr="00DC3F86">
        <w:tc>
          <w:tcPr>
            <w:tcW w:w="1804" w:type="dxa"/>
            <w:vAlign w:val="center"/>
          </w:tcPr>
          <w:p w:rsidR="00D94265" w:rsidRPr="00B036E9" w:rsidRDefault="00D94265" w:rsidP="00D94265">
            <w:pPr>
              <w:rPr>
                <w:rFonts w:eastAsiaTheme="minorEastAsia"/>
                <w:sz w:val="24"/>
                <w:szCs w:val="24"/>
                <w:lang w:val="en-US" w:eastAsia="en-US"/>
              </w:rPr>
            </w:pPr>
            <w:r>
              <w:rPr>
                <w:rFonts w:eastAsiaTheme="minorEastAsia"/>
                <w:sz w:val="24"/>
                <w:szCs w:val="24"/>
              </w:rPr>
              <w:t>D</w:t>
            </w:r>
            <w:r w:rsidRPr="00B036E9">
              <w:rPr>
                <w:rFonts w:eastAsiaTheme="minorEastAsia"/>
                <w:sz w:val="24"/>
                <w:szCs w:val="24"/>
              </w:rPr>
              <w:t>eğiştirilmesi</w:t>
            </w:r>
          </w:p>
        </w:tc>
        <w:tc>
          <w:tcPr>
            <w:tcW w:w="284" w:type="dxa"/>
          </w:tcPr>
          <w:p w:rsidR="00D94265" w:rsidRPr="00B036E9" w:rsidRDefault="00D94265" w:rsidP="00D94265">
            <w:pPr>
              <w:rPr>
                <w:rFonts w:eastAsiaTheme="minorEastAsia"/>
                <w:sz w:val="24"/>
                <w:szCs w:val="24"/>
                <w:lang w:val="en-US" w:eastAsia="en-US"/>
              </w:rPr>
            </w:pPr>
          </w:p>
        </w:tc>
        <w:tc>
          <w:tcPr>
            <w:tcW w:w="713" w:type="dxa"/>
          </w:tcPr>
          <w:p w:rsidR="00D94265" w:rsidRPr="00B036E9" w:rsidRDefault="00D94265" w:rsidP="00D94265">
            <w:pPr>
              <w:rPr>
                <w:sz w:val="24"/>
                <w:szCs w:val="24"/>
              </w:rPr>
            </w:pPr>
            <w:r>
              <w:rPr>
                <w:sz w:val="24"/>
                <w:szCs w:val="24"/>
              </w:rPr>
              <w:t>“(a)</w:t>
            </w:r>
          </w:p>
        </w:tc>
        <w:tc>
          <w:tcPr>
            <w:tcW w:w="8080" w:type="dxa"/>
            <w:gridSpan w:val="2"/>
          </w:tcPr>
          <w:p w:rsidR="00D94265" w:rsidRPr="00B036E9" w:rsidRDefault="00D94265" w:rsidP="00D94265">
            <w:pPr>
              <w:jc w:val="both"/>
              <w:rPr>
                <w:sz w:val="24"/>
                <w:szCs w:val="24"/>
              </w:rPr>
            </w:pPr>
            <w:r w:rsidRPr="00B036E9">
              <w:rPr>
                <w:sz w:val="24"/>
                <w:szCs w:val="24"/>
              </w:rPr>
              <w:t xml:space="preserve">Müteveffanın ölüm tarihinde hayatta olan </w:t>
            </w:r>
            <w:proofErr w:type="gramStart"/>
            <w:r w:rsidRPr="00B036E9">
              <w:rPr>
                <w:sz w:val="24"/>
                <w:szCs w:val="24"/>
              </w:rPr>
              <w:t>çocukları;</w:t>
            </w:r>
            <w:proofErr w:type="gramEnd"/>
            <w:r w:rsidRPr="00B036E9">
              <w:rPr>
                <w:sz w:val="24"/>
                <w:szCs w:val="24"/>
              </w:rPr>
              <w:t xml:space="preserve"> ve</w:t>
            </w:r>
          </w:p>
        </w:tc>
      </w:tr>
      <w:tr w:rsidR="00D94265" w:rsidRPr="00B036E9" w:rsidTr="00D94265">
        <w:tc>
          <w:tcPr>
            <w:tcW w:w="1804" w:type="dxa"/>
          </w:tcPr>
          <w:p w:rsidR="00D94265" w:rsidRPr="00B036E9" w:rsidRDefault="00D94265" w:rsidP="00D94265">
            <w:pPr>
              <w:rPr>
                <w:sz w:val="24"/>
                <w:szCs w:val="24"/>
              </w:rPr>
            </w:pPr>
          </w:p>
        </w:tc>
        <w:tc>
          <w:tcPr>
            <w:tcW w:w="284" w:type="dxa"/>
          </w:tcPr>
          <w:p w:rsidR="00D94265" w:rsidRPr="00B036E9" w:rsidRDefault="00D94265" w:rsidP="00D94265">
            <w:pPr>
              <w:rPr>
                <w:rFonts w:eastAsiaTheme="minorEastAsia"/>
                <w:sz w:val="24"/>
                <w:szCs w:val="24"/>
                <w:lang w:val="en-US" w:eastAsia="en-US"/>
              </w:rPr>
            </w:pPr>
          </w:p>
        </w:tc>
        <w:tc>
          <w:tcPr>
            <w:tcW w:w="713" w:type="dxa"/>
          </w:tcPr>
          <w:p w:rsidR="00D94265" w:rsidRPr="00B036E9" w:rsidRDefault="00D94265" w:rsidP="00D94265">
            <w:pPr>
              <w:rPr>
                <w:sz w:val="24"/>
                <w:szCs w:val="24"/>
              </w:rPr>
            </w:pPr>
            <w:r>
              <w:rPr>
                <w:sz w:val="24"/>
                <w:szCs w:val="24"/>
              </w:rPr>
              <w:t xml:space="preserve"> (b)</w:t>
            </w:r>
          </w:p>
        </w:tc>
        <w:tc>
          <w:tcPr>
            <w:tcW w:w="8080" w:type="dxa"/>
            <w:gridSpan w:val="2"/>
          </w:tcPr>
          <w:p w:rsidR="00D94265" w:rsidRPr="00B036E9" w:rsidRDefault="00D94265" w:rsidP="00D94265">
            <w:pPr>
              <w:jc w:val="both"/>
              <w:rPr>
                <w:sz w:val="24"/>
                <w:szCs w:val="24"/>
                <w:lang w:val="en-US"/>
              </w:rPr>
            </w:pPr>
            <w:r w:rsidRPr="00B036E9">
              <w:rPr>
                <w:sz w:val="24"/>
                <w:szCs w:val="24"/>
              </w:rPr>
              <w:t xml:space="preserve">Müteveffanın hayatta olduğu sırada ölen herhangi bir </w:t>
            </w:r>
            <w:proofErr w:type="gramStart"/>
            <w:r w:rsidRPr="00B036E9">
              <w:rPr>
                <w:sz w:val="24"/>
                <w:szCs w:val="24"/>
              </w:rPr>
              <w:t>çocuğunun  müteveffanın</w:t>
            </w:r>
            <w:proofErr w:type="gramEnd"/>
          </w:p>
          <w:p w:rsidR="00D94265" w:rsidRPr="00B036E9" w:rsidRDefault="00D94265" w:rsidP="00D94265">
            <w:pPr>
              <w:jc w:val="both"/>
              <w:rPr>
                <w:sz w:val="24"/>
                <w:szCs w:val="24"/>
              </w:rPr>
            </w:pPr>
            <w:proofErr w:type="gramStart"/>
            <w:r w:rsidRPr="00B036E9">
              <w:rPr>
                <w:sz w:val="24"/>
                <w:szCs w:val="24"/>
              </w:rPr>
              <w:t>ölüm</w:t>
            </w:r>
            <w:proofErr w:type="gramEnd"/>
            <w:r w:rsidRPr="00B036E9">
              <w:rPr>
                <w:sz w:val="24"/>
                <w:szCs w:val="24"/>
              </w:rPr>
              <w:t xml:space="preserve"> tarihinde hayatta olan füruu.”</w:t>
            </w:r>
          </w:p>
        </w:tc>
      </w:tr>
    </w:tbl>
    <w:p w:rsidR="00535D0C" w:rsidRDefault="00535D0C">
      <w:r>
        <w:br w:type="page"/>
      </w:r>
      <w:bookmarkStart w:id="0" w:name="_GoBack"/>
      <w:bookmarkEnd w:id="0"/>
    </w:p>
    <w:tbl>
      <w:tblPr>
        <w:tblStyle w:val="TableGrid"/>
        <w:tblpPr w:leftFromText="141" w:rightFromText="141" w:vertAnchor="text" w:horzAnchor="margin" w:tblpXSpec="center" w:tblpY="80"/>
        <w:tblOverlap w:val="nev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4"/>
        <w:gridCol w:w="284"/>
        <w:gridCol w:w="713"/>
        <w:gridCol w:w="562"/>
        <w:gridCol w:w="567"/>
        <w:gridCol w:w="708"/>
        <w:gridCol w:w="6237"/>
        <w:gridCol w:w="6"/>
      </w:tblGrid>
      <w:tr w:rsidR="00D94265" w:rsidRPr="00B036E9" w:rsidTr="00D94265">
        <w:tc>
          <w:tcPr>
            <w:tcW w:w="1804" w:type="dxa"/>
          </w:tcPr>
          <w:p w:rsidR="00D94265" w:rsidRPr="00B036E9" w:rsidRDefault="00D94265" w:rsidP="00D94265">
            <w:pPr>
              <w:rPr>
                <w:sz w:val="24"/>
                <w:szCs w:val="24"/>
              </w:rPr>
            </w:pPr>
          </w:p>
        </w:tc>
        <w:tc>
          <w:tcPr>
            <w:tcW w:w="284" w:type="dxa"/>
          </w:tcPr>
          <w:p w:rsidR="00D94265" w:rsidRPr="00B036E9" w:rsidRDefault="00D94265" w:rsidP="00D94265">
            <w:pPr>
              <w:rPr>
                <w:rFonts w:eastAsiaTheme="minorEastAsia"/>
                <w:sz w:val="24"/>
                <w:szCs w:val="24"/>
                <w:lang w:val="en-US" w:eastAsia="en-US"/>
              </w:rPr>
            </w:pPr>
          </w:p>
        </w:tc>
        <w:tc>
          <w:tcPr>
            <w:tcW w:w="713" w:type="dxa"/>
          </w:tcPr>
          <w:p w:rsidR="00D94265" w:rsidRDefault="00D94265" w:rsidP="00D94265">
            <w:pPr>
              <w:rPr>
                <w:sz w:val="24"/>
                <w:szCs w:val="24"/>
              </w:rPr>
            </w:pPr>
          </w:p>
        </w:tc>
        <w:tc>
          <w:tcPr>
            <w:tcW w:w="8080" w:type="dxa"/>
            <w:gridSpan w:val="5"/>
          </w:tcPr>
          <w:p w:rsidR="00D94265" w:rsidRPr="00B036E9" w:rsidRDefault="00D94265" w:rsidP="00D94265">
            <w:pPr>
              <w:jc w:val="both"/>
              <w:rPr>
                <w:sz w:val="24"/>
                <w:szCs w:val="24"/>
              </w:rPr>
            </w:pPr>
          </w:p>
        </w:tc>
      </w:tr>
      <w:tr w:rsidR="00D94265" w:rsidRPr="00B036E9" w:rsidTr="00D94265">
        <w:trPr>
          <w:gridAfter w:val="1"/>
          <w:wAfter w:w="6" w:type="dxa"/>
          <w:trHeight w:val="781"/>
        </w:trPr>
        <w:tc>
          <w:tcPr>
            <w:tcW w:w="1804" w:type="dxa"/>
            <w:hideMark/>
          </w:tcPr>
          <w:p w:rsidR="00D94265" w:rsidRPr="00B036E9" w:rsidRDefault="00D94265" w:rsidP="00D94265">
            <w:pPr>
              <w:rPr>
                <w:rFonts w:eastAsiaTheme="minorEastAsia"/>
                <w:sz w:val="24"/>
                <w:szCs w:val="24"/>
                <w:lang w:val="en-US"/>
              </w:rPr>
            </w:pPr>
            <w:r w:rsidRPr="00B036E9">
              <w:rPr>
                <w:rFonts w:eastAsiaTheme="minorEastAsia"/>
                <w:sz w:val="24"/>
                <w:szCs w:val="24"/>
              </w:rPr>
              <w:t>Geçici Madde</w:t>
            </w:r>
          </w:p>
          <w:p w:rsidR="00D94265" w:rsidRDefault="00D94265" w:rsidP="00D94265">
            <w:pPr>
              <w:rPr>
                <w:rFonts w:eastAsiaTheme="minorEastAsia"/>
                <w:sz w:val="24"/>
                <w:szCs w:val="24"/>
              </w:rPr>
            </w:pPr>
            <w:r w:rsidRPr="00B036E9">
              <w:rPr>
                <w:rFonts w:eastAsiaTheme="minorEastAsia"/>
                <w:sz w:val="24"/>
                <w:szCs w:val="24"/>
              </w:rPr>
              <w:t>Bu (Değişiklik)</w:t>
            </w:r>
          </w:p>
          <w:p w:rsidR="00D94265" w:rsidRPr="00B0654C" w:rsidRDefault="00D94265" w:rsidP="00D94265">
            <w:pPr>
              <w:rPr>
                <w:rFonts w:eastAsiaTheme="minorEastAsia"/>
                <w:sz w:val="24"/>
                <w:szCs w:val="24"/>
              </w:rPr>
            </w:pPr>
            <w:r w:rsidRPr="00B036E9">
              <w:rPr>
                <w:rFonts w:eastAsiaTheme="minorEastAsia"/>
                <w:sz w:val="24"/>
                <w:szCs w:val="24"/>
              </w:rPr>
              <w:t>Yasasının</w:t>
            </w:r>
          </w:p>
        </w:tc>
        <w:tc>
          <w:tcPr>
            <w:tcW w:w="9071" w:type="dxa"/>
            <w:gridSpan w:val="6"/>
            <w:hideMark/>
          </w:tcPr>
          <w:p w:rsidR="00D94265" w:rsidRPr="00B036E9" w:rsidRDefault="00D94265" w:rsidP="00D94265">
            <w:pPr>
              <w:jc w:val="both"/>
              <w:rPr>
                <w:rFonts w:eastAsia="Calibri"/>
                <w:color w:val="FF0000"/>
                <w:sz w:val="24"/>
                <w:szCs w:val="24"/>
                <w:lang w:val="en-US" w:eastAsia="en-US"/>
              </w:rPr>
            </w:pPr>
            <w:r w:rsidRPr="00B036E9">
              <w:rPr>
                <w:sz w:val="24"/>
                <w:szCs w:val="24"/>
              </w:rPr>
              <w:t>1. Bu (Değişiklik) Yasası kuralları, bu (Değişiklik) Yasasının yürürlüğe girdiği tarihten önce taksim edilmiş veya kapatılmış olan terekelere uygulanmaz.</w:t>
            </w:r>
          </w:p>
        </w:tc>
      </w:tr>
      <w:tr w:rsidR="00D94265" w:rsidRPr="00B036E9" w:rsidTr="00D94265">
        <w:trPr>
          <w:gridAfter w:val="1"/>
          <w:wAfter w:w="6" w:type="dxa"/>
        </w:trPr>
        <w:tc>
          <w:tcPr>
            <w:tcW w:w="1804" w:type="dxa"/>
            <w:hideMark/>
          </w:tcPr>
          <w:p w:rsidR="00D94265" w:rsidRPr="00B036E9" w:rsidRDefault="00D94265" w:rsidP="00D94265">
            <w:pPr>
              <w:rPr>
                <w:rFonts w:eastAsiaTheme="minorEastAsia"/>
                <w:sz w:val="24"/>
                <w:szCs w:val="24"/>
                <w:lang w:val="en-US" w:eastAsia="en-US"/>
              </w:rPr>
            </w:pPr>
            <w:r w:rsidRPr="00B036E9">
              <w:rPr>
                <w:rFonts w:eastAsiaTheme="minorEastAsia"/>
                <w:sz w:val="24"/>
                <w:szCs w:val="24"/>
              </w:rPr>
              <w:t xml:space="preserve">Tamamlanmış </w:t>
            </w:r>
            <w:proofErr w:type="gramStart"/>
            <w:r w:rsidRPr="00B036E9">
              <w:rPr>
                <w:rFonts w:eastAsiaTheme="minorEastAsia"/>
                <w:sz w:val="24"/>
                <w:szCs w:val="24"/>
              </w:rPr>
              <w:t>Terekelere  Uygulanmaya</w:t>
            </w:r>
            <w:proofErr w:type="gramEnd"/>
            <w:r w:rsidRPr="00B036E9">
              <w:rPr>
                <w:rFonts w:eastAsiaTheme="minorEastAsia"/>
                <w:sz w:val="24"/>
                <w:szCs w:val="24"/>
              </w:rPr>
              <w:t xml:space="preserve">-cağına İlişkin </w:t>
            </w:r>
          </w:p>
        </w:tc>
        <w:tc>
          <w:tcPr>
            <w:tcW w:w="284" w:type="dxa"/>
          </w:tcPr>
          <w:p w:rsidR="00D94265" w:rsidRPr="00B036E9" w:rsidRDefault="00D94265" w:rsidP="00D94265">
            <w:pPr>
              <w:rPr>
                <w:rFonts w:eastAsiaTheme="minorEastAsia"/>
                <w:noProof/>
                <w:sz w:val="24"/>
                <w:szCs w:val="24"/>
                <w:lang w:val="en-US" w:eastAsia="en-US"/>
              </w:rPr>
            </w:pPr>
          </w:p>
        </w:tc>
        <w:tc>
          <w:tcPr>
            <w:tcW w:w="1275" w:type="dxa"/>
            <w:gridSpan w:val="2"/>
          </w:tcPr>
          <w:p w:rsidR="00D94265" w:rsidRPr="00B036E9" w:rsidRDefault="00D94265" w:rsidP="00D94265">
            <w:pPr>
              <w:rPr>
                <w:rFonts w:eastAsiaTheme="minorEastAsia"/>
                <w:noProof/>
                <w:sz w:val="24"/>
                <w:szCs w:val="24"/>
                <w:lang w:val="en-US" w:eastAsia="en-US"/>
              </w:rPr>
            </w:pPr>
          </w:p>
        </w:tc>
        <w:tc>
          <w:tcPr>
            <w:tcW w:w="567" w:type="dxa"/>
          </w:tcPr>
          <w:p w:rsidR="00D94265" w:rsidRPr="00B036E9" w:rsidRDefault="00D94265" w:rsidP="00D94265">
            <w:pPr>
              <w:jc w:val="both"/>
              <w:rPr>
                <w:rFonts w:eastAsiaTheme="minorEastAsia"/>
                <w:sz w:val="24"/>
                <w:szCs w:val="24"/>
                <w:lang w:val="en-US" w:eastAsia="en-US"/>
              </w:rPr>
            </w:pPr>
          </w:p>
        </w:tc>
        <w:tc>
          <w:tcPr>
            <w:tcW w:w="708" w:type="dxa"/>
          </w:tcPr>
          <w:p w:rsidR="00D94265" w:rsidRPr="00B036E9" w:rsidRDefault="00D94265" w:rsidP="00D94265">
            <w:pPr>
              <w:jc w:val="both"/>
              <w:rPr>
                <w:rFonts w:eastAsiaTheme="minorEastAsia"/>
                <w:color w:val="FF0000"/>
                <w:sz w:val="24"/>
                <w:szCs w:val="24"/>
                <w:lang w:val="en-US" w:eastAsia="en-US"/>
              </w:rPr>
            </w:pPr>
          </w:p>
        </w:tc>
        <w:tc>
          <w:tcPr>
            <w:tcW w:w="6237" w:type="dxa"/>
          </w:tcPr>
          <w:p w:rsidR="00D94265" w:rsidRPr="00B036E9" w:rsidRDefault="00D94265" w:rsidP="00D94265">
            <w:pPr>
              <w:jc w:val="both"/>
              <w:rPr>
                <w:rFonts w:eastAsiaTheme="minorEastAsia"/>
                <w:sz w:val="24"/>
                <w:szCs w:val="24"/>
                <w:lang w:val="en-US" w:eastAsia="en-US"/>
              </w:rPr>
            </w:pPr>
          </w:p>
        </w:tc>
      </w:tr>
      <w:tr w:rsidR="00D94265" w:rsidRPr="00B036E9" w:rsidTr="00D94265">
        <w:trPr>
          <w:gridAfter w:val="1"/>
          <w:wAfter w:w="6" w:type="dxa"/>
        </w:trPr>
        <w:tc>
          <w:tcPr>
            <w:tcW w:w="1804" w:type="dxa"/>
          </w:tcPr>
          <w:p w:rsidR="00D94265" w:rsidRPr="00B036E9" w:rsidRDefault="00D94265" w:rsidP="00D94265">
            <w:pPr>
              <w:rPr>
                <w:rFonts w:eastAsiaTheme="minorEastAsia"/>
                <w:sz w:val="24"/>
                <w:szCs w:val="24"/>
                <w:lang w:val="en-US" w:eastAsia="en-US"/>
              </w:rPr>
            </w:pPr>
            <w:r w:rsidRPr="00B036E9">
              <w:rPr>
                <w:rFonts w:eastAsiaTheme="minorEastAsia"/>
                <w:sz w:val="24"/>
                <w:szCs w:val="24"/>
              </w:rPr>
              <w:t>Kurallar</w:t>
            </w:r>
          </w:p>
        </w:tc>
        <w:tc>
          <w:tcPr>
            <w:tcW w:w="284" w:type="dxa"/>
          </w:tcPr>
          <w:p w:rsidR="00D94265" w:rsidRPr="00B036E9" w:rsidRDefault="00D94265" w:rsidP="00D94265">
            <w:pPr>
              <w:rPr>
                <w:rFonts w:eastAsiaTheme="minorEastAsia"/>
                <w:noProof/>
                <w:sz w:val="24"/>
                <w:szCs w:val="24"/>
                <w:lang w:val="en-US" w:eastAsia="en-US"/>
              </w:rPr>
            </w:pPr>
          </w:p>
        </w:tc>
        <w:tc>
          <w:tcPr>
            <w:tcW w:w="1275" w:type="dxa"/>
            <w:gridSpan w:val="2"/>
          </w:tcPr>
          <w:p w:rsidR="00D94265" w:rsidRPr="00B036E9" w:rsidRDefault="00D94265" w:rsidP="00D94265">
            <w:pPr>
              <w:rPr>
                <w:rFonts w:eastAsiaTheme="minorEastAsia"/>
                <w:noProof/>
                <w:sz w:val="24"/>
                <w:szCs w:val="24"/>
                <w:lang w:val="en-US" w:eastAsia="en-US"/>
              </w:rPr>
            </w:pPr>
          </w:p>
        </w:tc>
        <w:tc>
          <w:tcPr>
            <w:tcW w:w="567" w:type="dxa"/>
          </w:tcPr>
          <w:p w:rsidR="00D94265" w:rsidRPr="00B036E9" w:rsidRDefault="00D94265" w:rsidP="00D94265">
            <w:pPr>
              <w:jc w:val="both"/>
              <w:rPr>
                <w:rFonts w:eastAsiaTheme="minorEastAsia"/>
                <w:sz w:val="24"/>
                <w:szCs w:val="24"/>
                <w:lang w:val="en-US" w:eastAsia="en-US"/>
              </w:rPr>
            </w:pPr>
          </w:p>
        </w:tc>
        <w:tc>
          <w:tcPr>
            <w:tcW w:w="708" w:type="dxa"/>
          </w:tcPr>
          <w:p w:rsidR="00D94265" w:rsidRPr="00B036E9" w:rsidRDefault="00D94265" w:rsidP="00D94265">
            <w:pPr>
              <w:jc w:val="both"/>
              <w:rPr>
                <w:rFonts w:eastAsiaTheme="minorEastAsia"/>
                <w:color w:val="FF0000"/>
                <w:sz w:val="24"/>
                <w:szCs w:val="24"/>
                <w:lang w:val="en-US" w:eastAsia="en-US"/>
              </w:rPr>
            </w:pPr>
          </w:p>
        </w:tc>
        <w:tc>
          <w:tcPr>
            <w:tcW w:w="6237" w:type="dxa"/>
          </w:tcPr>
          <w:p w:rsidR="00D94265" w:rsidRPr="00B036E9" w:rsidRDefault="00D94265" w:rsidP="00D94265">
            <w:pPr>
              <w:jc w:val="both"/>
              <w:rPr>
                <w:rFonts w:eastAsiaTheme="minorEastAsia"/>
                <w:sz w:val="24"/>
                <w:szCs w:val="24"/>
                <w:lang w:val="en-US" w:eastAsia="en-US"/>
              </w:rPr>
            </w:pPr>
          </w:p>
        </w:tc>
      </w:tr>
      <w:tr w:rsidR="00D94265" w:rsidRPr="00B036E9" w:rsidTr="00D94265">
        <w:trPr>
          <w:gridAfter w:val="1"/>
          <w:wAfter w:w="6" w:type="dxa"/>
        </w:trPr>
        <w:tc>
          <w:tcPr>
            <w:tcW w:w="1804" w:type="dxa"/>
          </w:tcPr>
          <w:p w:rsidR="00D94265" w:rsidRPr="00B036E9" w:rsidRDefault="00D94265" w:rsidP="00D94265">
            <w:pPr>
              <w:rPr>
                <w:rFonts w:eastAsiaTheme="minorEastAsia"/>
                <w:sz w:val="24"/>
                <w:szCs w:val="24"/>
              </w:rPr>
            </w:pPr>
          </w:p>
        </w:tc>
        <w:tc>
          <w:tcPr>
            <w:tcW w:w="284" w:type="dxa"/>
          </w:tcPr>
          <w:p w:rsidR="00D94265" w:rsidRPr="00B036E9" w:rsidRDefault="00D94265" w:rsidP="00D94265">
            <w:pPr>
              <w:rPr>
                <w:rFonts w:eastAsiaTheme="minorEastAsia"/>
                <w:noProof/>
                <w:sz w:val="24"/>
                <w:szCs w:val="24"/>
                <w:lang w:val="en-US" w:eastAsia="en-US"/>
              </w:rPr>
            </w:pPr>
          </w:p>
        </w:tc>
        <w:tc>
          <w:tcPr>
            <w:tcW w:w="1275" w:type="dxa"/>
            <w:gridSpan w:val="2"/>
          </w:tcPr>
          <w:p w:rsidR="00D94265" w:rsidRPr="00B036E9" w:rsidRDefault="00D94265" w:rsidP="00D94265">
            <w:pPr>
              <w:rPr>
                <w:rFonts w:eastAsiaTheme="minorEastAsia"/>
                <w:noProof/>
                <w:sz w:val="24"/>
                <w:szCs w:val="24"/>
                <w:lang w:val="en-US" w:eastAsia="en-US"/>
              </w:rPr>
            </w:pPr>
          </w:p>
        </w:tc>
        <w:tc>
          <w:tcPr>
            <w:tcW w:w="567" w:type="dxa"/>
          </w:tcPr>
          <w:p w:rsidR="00D94265" w:rsidRPr="00B036E9" w:rsidRDefault="00D94265" w:rsidP="00D94265">
            <w:pPr>
              <w:jc w:val="both"/>
              <w:rPr>
                <w:rFonts w:eastAsiaTheme="minorEastAsia"/>
                <w:sz w:val="24"/>
                <w:szCs w:val="24"/>
                <w:lang w:val="en-US" w:eastAsia="en-US"/>
              </w:rPr>
            </w:pPr>
          </w:p>
        </w:tc>
        <w:tc>
          <w:tcPr>
            <w:tcW w:w="708" w:type="dxa"/>
          </w:tcPr>
          <w:p w:rsidR="00D94265" w:rsidRPr="00B036E9" w:rsidRDefault="00D94265" w:rsidP="00D94265">
            <w:pPr>
              <w:jc w:val="both"/>
              <w:rPr>
                <w:rFonts w:eastAsiaTheme="minorEastAsia"/>
                <w:color w:val="FF0000"/>
                <w:sz w:val="24"/>
                <w:szCs w:val="24"/>
                <w:lang w:val="en-US" w:eastAsia="en-US"/>
              </w:rPr>
            </w:pPr>
          </w:p>
        </w:tc>
        <w:tc>
          <w:tcPr>
            <w:tcW w:w="6237" w:type="dxa"/>
          </w:tcPr>
          <w:p w:rsidR="00D94265" w:rsidRPr="00B036E9" w:rsidRDefault="00D94265" w:rsidP="00D94265">
            <w:pPr>
              <w:jc w:val="both"/>
              <w:rPr>
                <w:rFonts w:eastAsiaTheme="minorEastAsia"/>
                <w:sz w:val="24"/>
                <w:szCs w:val="24"/>
                <w:lang w:val="en-US" w:eastAsia="en-US"/>
              </w:rPr>
            </w:pPr>
          </w:p>
        </w:tc>
      </w:tr>
      <w:tr w:rsidR="00D94265" w:rsidRPr="00B036E9" w:rsidTr="00D94265">
        <w:trPr>
          <w:gridAfter w:val="1"/>
          <w:wAfter w:w="6" w:type="dxa"/>
        </w:trPr>
        <w:tc>
          <w:tcPr>
            <w:tcW w:w="1804" w:type="dxa"/>
            <w:hideMark/>
          </w:tcPr>
          <w:p w:rsidR="00D94265" w:rsidRPr="00B036E9" w:rsidRDefault="00D94265" w:rsidP="00D94265">
            <w:pPr>
              <w:rPr>
                <w:rFonts w:eastAsiaTheme="minorEastAsia"/>
                <w:sz w:val="24"/>
                <w:szCs w:val="24"/>
                <w:lang w:val="en-US" w:eastAsia="en-US"/>
              </w:rPr>
            </w:pPr>
            <w:r w:rsidRPr="00B036E9">
              <w:rPr>
                <w:rFonts w:eastAsia="Calibri"/>
                <w:bCs/>
                <w:sz w:val="24"/>
                <w:szCs w:val="24"/>
              </w:rPr>
              <w:t>Yürürlüğ</w:t>
            </w:r>
            <w:r w:rsidRPr="00B036E9">
              <w:rPr>
                <w:bCs/>
                <w:sz w:val="24"/>
                <w:szCs w:val="24"/>
              </w:rPr>
              <w:t>e G</w:t>
            </w:r>
            <w:r w:rsidRPr="00B036E9">
              <w:rPr>
                <w:rFonts w:eastAsia="Calibri"/>
                <w:bCs/>
                <w:sz w:val="24"/>
                <w:szCs w:val="24"/>
              </w:rPr>
              <w:t>iriş</w:t>
            </w:r>
          </w:p>
        </w:tc>
        <w:tc>
          <w:tcPr>
            <w:tcW w:w="9071" w:type="dxa"/>
            <w:gridSpan w:val="6"/>
            <w:hideMark/>
          </w:tcPr>
          <w:p w:rsidR="00D94265" w:rsidRPr="00B036E9" w:rsidRDefault="00D94265" w:rsidP="00D94265">
            <w:pPr>
              <w:jc w:val="both"/>
              <w:rPr>
                <w:rFonts w:eastAsiaTheme="minorEastAsia"/>
                <w:sz w:val="24"/>
                <w:szCs w:val="24"/>
                <w:lang w:val="en-US" w:eastAsia="en-US"/>
              </w:rPr>
            </w:pPr>
            <w:r w:rsidRPr="00B036E9">
              <w:rPr>
                <w:rFonts w:eastAsiaTheme="minorEastAsia"/>
                <w:sz w:val="24"/>
                <w:szCs w:val="24"/>
              </w:rPr>
              <w:t xml:space="preserve">5. </w:t>
            </w:r>
            <w:r w:rsidRPr="00B036E9">
              <w:rPr>
                <w:rFonts w:eastAsia="Calibri"/>
                <w:sz w:val="24"/>
                <w:szCs w:val="24"/>
              </w:rPr>
              <w:t xml:space="preserve"> Bu Yasa, Resmi </w:t>
            </w:r>
            <w:proofErr w:type="spellStart"/>
            <w:r w:rsidRPr="00B036E9">
              <w:rPr>
                <w:rFonts w:eastAsia="Calibri"/>
                <w:sz w:val="24"/>
                <w:szCs w:val="24"/>
              </w:rPr>
              <w:t>Gazete’de</w:t>
            </w:r>
            <w:proofErr w:type="spellEnd"/>
            <w:r w:rsidRPr="00B036E9">
              <w:rPr>
                <w:rFonts w:eastAsia="Calibri"/>
                <w:sz w:val="24"/>
                <w:szCs w:val="24"/>
              </w:rPr>
              <w:t xml:space="preserve"> yayımlandığı tarihten başlayarak yürürlüğe girer.</w:t>
            </w:r>
          </w:p>
        </w:tc>
      </w:tr>
    </w:tbl>
    <w:p w:rsidR="008C1584" w:rsidRPr="00B036E9" w:rsidRDefault="008C1584" w:rsidP="00454077">
      <w:pPr>
        <w:rPr>
          <w:sz w:val="24"/>
          <w:szCs w:val="24"/>
        </w:rPr>
      </w:pPr>
    </w:p>
    <w:sectPr w:rsidR="008C1584" w:rsidRPr="00B036E9" w:rsidSect="00F37CE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3EC"/>
    <w:rsid w:val="004445D6"/>
    <w:rsid w:val="00454077"/>
    <w:rsid w:val="004E6785"/>
    <w:rsid w:val="00535D0C"/>
    <w:rsid w:val="006773EC"/>
    <w:rsid w:val="00783C50"/>
    <w:rsid w:val="007E3249"/>
    <w:rsid w:val="007F2AD8"/>
    <w:rsid w:val="008C1584"/>
    <w:rsid w:val="00A14D63"/>
    <w:rsid w:val="00A70FD1"/>
    <w:rsid w:val="00B036E9"/>
    <w:rsid w:val="00B0654C"/>
    <w:rsid w:val="00D57DF2"/>
    <w:rsid w:val="00D94265"/>
    <w:rsid w:val="00E512AF"/>
    <w:rsid w:val="00E605A4"/>
    <w:rsid w:val="00F37CE5"/>
    <w:rsid w:val="00F701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63"/>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54C"/>
    <w:pPr>
      <w:ind w:left="720"/>
      <w:contextualSpacing/>
    </w:pPr>
  </w:style>
  <w:style w:type="paragraph" w:styleId="BalloonText">
    <w:name w:val="Balloon Text"/>
    <w:basedOn w:val="Normal"/>
    <w:link w:val="BalloonTextChar"/>
    <w:uiPriority w:val="99"/>
    <w:semiHidden/>
    <w:unhideWhenUsed/>
    <w:rsid w:val="00D57DF2"/>
    <w:rPr>
      <w:rFonts w:ascii="Tahoma" w:hAnsi="Tahoma" w:cs="Tahoma"/>
      <w:sz w:val="16"/>
      <w:szCs w:val="16"/>
    </w:rPr>
  </w:style>
  <w:style w:type="character" w:customStyle="1" w:styleId="BalloonTextChar">
    <w:name w:val="Balloon Text Char"/>
    <w:basedOn w:val="DefaultParagraphFont"/>
    <w:link w:val="BalloonText"/>
    <w:uiPriority w:val="99"/>
    <w:semiHidden/>
    <w:rsid w:val="00D57DF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D63"/>
    <w:pPr>
      <w:spacing w:after="0" w:line="240" w:lineRule="auto"/>
    </w:pPr>
    <w:rPr>
      <w:rFonts w:ascii="Times New Roman" w:eastAsia="Times New Roman" w:hAnsi="Times New Roman" w:cs="Times New Roman"/>
      <w:sz w:val="40"/>
      <w:szCs w:val="4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C5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654C"/>
    <w:pPr>
      <w:ind w:left="720"/>
      <w:contextualSpacing/>
    </w:pPr>
  </w:style>
  <w:style w:type="paragraph" w:styleId="BalloonText">
    <w:name w:val="Balloon Text"/>
    <w:basedOn w:val="Normal"/>
    <w:link w:val="BalloonTextChar"/>
    <w:uiPriority w:val="99"/>
    <w:semiHidden/>
    <w:unhideWhenUsed/>
    <w:rsid w:val="00D57DF2"/>
    <w:rPr>
      <w:rFonts w:ascii="Tahoma" w:hAnsi="Tahoma" w:cs="Tahoma"/>
      <w:sz w:val="16"/>
      <w:szCs w:val="16"/>
    </w:rPr>
  </w:style>
  <w:style w:type="character" w:customStyle="1" w:styleId="BalloonTextChar">
    <w:name w:val="Balloon Text Char"/>
    <w:basedOn w:val="DefaultParagraphFont"/>
    <w:link w:val="BalloonText"/>
    <w:uiPriority w:val="99"/>
    <w:semiHidden/>
    <w:rsid w:val="00D57DF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8052">
      <w:bodyDiv w:val="1"/>
      <w:marLeft w:val="0"/>
      <w:marRight w:val="0"/>
      <w:marTop w:val="0"/>
      <w:marBottom w:val="0"/>
      <w:divBdr>
        <w:top w:val="none" w:sz="0" w:space="0" w:color="auto"/>
        <w:left w:val="none" w:sz="0" w:space="0" w:color="auto"/>
        <w:bottom w:val="none" w:sz="0" w:space="0" w:color="auto"/>
        <w:right w:val="none" w:sz="0" w:space="0" w:color="auto"/>
      </w:divBdr>
    </w:div>
    <w:div w:id="422262677">
      <w:bodyDiv w:val="1"/>
      <w:marLeft w:val="0"/>
      <w:marRight w:val="0"/>
      <w:marTop w:val="0"/>
      <w:marBottom w:val="0"/>
      <w:divBdr>
        <w:top w:val="none" w:sz="0" w:space="0" w:color="auto"/>
        <w:left w:val="none" w:sz="0" w:space="0" w:color="auto"/>
        <w:bottom w:val="none" w:sz="0" w:space="0" w:color="auto"/>
        <w:right w:val="none" w:sz="0" w:space="0" w:color="auto"/>
      </w:divBdr>
    </w:div>
    <w:div w:id="1160341953">
      <w:bodyDiv w:val="1"/>
      <w:marLeft w:val="0"/>
      <w:marRight w:val="0"/>
      <w:marTop w:val="0"/>
      <w:marBottom w:val="0"/>
      <w:divBdr>
        <w:top w:val="none" w:sz="0" w:space="0" w:color="auto"/>
        <w:left w:val="none" w:sz="0" w:space="0" w:color="auto"/>
        <w:bottom w:val="none" w:sz="0" w:space="0" w:color="auto"/>
        <w:right w:val="none" w:sz="0" w:space="0" w:color="auto"/>
      </w:divBdr>
    </w:div>
    <w:div w:id="1199196857">
      <w:bodyDiv w:val="1"/>
      <w:marLeft w:val="0"/>
      <w:marRight w:val="0"/>
      <w:marTop w:val="0"/>
      <w:marBottom w:val="0"/>
      <w:divBdr>
        <w:top w:val="none" w:sz="0" w:space="0" w:color="auto"/>
        <w:left w:val="none" w:sz="0" w:space="0" w:color="auto"/>
        <w:bottom w:val="none" w:sz="0" w:space="0" w:color="auto"/>
        <w:right w:val="none" w:sz="0" w:space="0" w:color="auto"/>
      </w:divBdr>
    </w:div>
    <w:div w:id="16199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Nedret Beyaz</dc:creator>
  <cp:lastModifiedBy>gurkan artun</cp:lastModifiedBy>
  <cp:revision>5</cp:revision>
  <cp:lastPrinted>2021-11-13T11:42:00Z</cp:lastPrinted>
  <dcterms:created xsi:type="dcterms:W3CDTF">2021-11-29T10:12:00Z</dcterms:created>
  <dcterms:modified xsi:type="dcterms:W3CDTF">2021-11-29T10:21:00Z</dcterms:modified>
</cp:coreProperties>
</file>