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3E" w:rsidRPr="007E62AA" w:rsidRDefault="0062473E" w:rsidP="0062473E">
      <w:pPr>
        <w:jc w:val="both"/>
      </w:pPr>
      <w:r w:rsidRPr="007E62AA">
        <w:t xml:space="preserve">Kuzey Kıbrıs Türk Cumhuriyeti Cumhuriyet Meclisi’nin </w:t>
      </w:r>
      <w:r>
        <w:t>18 Mart 2024</w:t>
      </w:r>
      <w:r w:rsidRPr="007E62AA">
        <w:t xml:space="preserve"> tarihli </w:t>
      </w:r>
      <w:proofErr w:type="spellStart"/>
      <w:r>
        <w:t>Kırküçüncü</w:t>
      </w:r>
      <w:proofErr w:type="spellEnd"/>
      <w:r>
        <w:t xml:space="preserve"> </w:t>
      </w:r>
      <w:r w:rsidRPr="007E62AA">
        <w:t>Birleşiminde Oybirliğiyle kabul olunan “</w:t>
      </w:r>
      <w:r>
        <w:rPr>
          <w:color w:val="000000"/>
        </w:rPr>
        <w:t>Askerlik</w:t>
      </w:r>
      <w:r w:rsidRPr="0071448D">
        <w:rPr>
          <w:color w:val="000000"/>
        </w:rPr>
        <w:t xml:space="preserve"> (Değişiklik) </w:t>
      </w:r>
      <w:r w:rsidRPr="007E62AA">
        <w:t xml:space="preserve">Yasası” Anayasanın 94’üncü maddesinin (1)’inci fıkrası gereğince Kuzey Kıbrıs Türk Cumhuriyeti Cumhurbaşkanı tarafından Resmi </w:t>
      </w:r>
      <w:proofErr w:type="spellStart"/>
      <w:r w:rsidRPr="007E62AA">
        <w:t>Gazete’de</w:t>
      </w:r>
      <w:proofErr w:type="spellEnd"/>
      <w:r w:rsidRPr="007E62AA">
        <w:t xml:space="preserve"> yayımlanmak suretiyle ilan olunur.</w:t>
      </w:r>
    </w:p>
    <w:p w:rsidR="0062473E" w:rsidRDefault="0062473E" w:rsidP="0062473E">
      <w:pPr>
        <w:jc w:val="center"/>
      </w:pPr>
    </w:p>
    <w:p w:rsidR="0062473E" w:rsidRDefault="0062473E" w:rsidP="0062473E">
      <w:pPr>
        <w:jc w:val="center"/>
      </w:pPr>
    </w:p>
    <w:p w:rsidR="0062473E" w:rsidRPr="007E62AA" w:rsidRDefault="0062473E" w:rsidP="0062473E">
      <w:pPr>
        <w:jc w:val="center"/>
      </w:pPr>
      <w:r w:rsidRPr="007E62AA">
        <w:t xml:space="preserve">Sayı: </w:t>
      </w:r>
      <w:r>
        <w:t>16</w:t>
      </w:r>
      <w:r w:rsidRPr="007E62AA">
        <w:t>/202</w:t>
      </w:r>
      <w:r>
        <w:t>4</w:t>
      </w:r>
    </w:p>
    <w:p w:rsidR="0062473E" w:rsidRDefault="0062473E" w:rsidP="0062473E"/>
    <w:p w:rsidR="0062473E" w:rsidRDefault="0062473E" w:rsidP="0062473E"/>
    <w:tbl>
      <w:tblPr>
        <w:tblW w:w="9694" w:type="dxa"/>
        <w:tblInd w:w="-34" w:type="dxa"/>
        <w:tblLayout w:type="fixed"/>
        <w:tblLook w:val="01E0" w:firstRow="1" w:lastRow="1" w:firstColumn="1" w:lastColumn="1" w:noHBand="0" w:noVBand="0"/>
      </w:tblPr>
      <w:tblGrid>
        <w:gridCol w:w="34"/>
        <w:gridCol w:w="1667"/>
        <w:gridCol w:w="60"/>
        <w:gridCol w:w="81"/>
        <w:gridCol w:w="287"/>
        <w:gridCol w:w="519"/>
        <w:gridCol w:w="126"/>
        <w:gridCol w:w="6821"/>
        <w:gridCol w:w="99"/>
      </w:tblGrid>
      <w:tr w:rsidR="00874D53" w:rsidRPr="000C702A" w:rsidTr="005A7BF9">
        <w:trPr>
          <w:gridBefore w:val="1"/>
          <w:gridAfter w:val="1"/>
          <w:wBefore w:w="34" w:type="dxa"/>
          <w:wAfter w:w="99" w:type="dxa"/>
        </w:trPr>
        <w:tc>
          <w:tcPr>
            <w:tcW w:w="9561" w:type="dxa"/>
            <w:gridSpan w:val="7"/>
            <w:shd w:val="clear" w:color="auto" w:fill="auto"/>
          </w:tcPr>
          <w:p w:rsidR="00874D53" w:rsidRDefault="00874D53" w:rsidP="00874D53">
            <w:pPr>
              <w:jc w:val="center"/>
              <w:rPr>
                <w:bCs/>
                <w:spacing w:val="-1"/>
              </w:rPr>
            </w:pPr>
            <w:r w:rsidRPr="000C702A">
              <w:br w:type="page"/>
            </w:r>
            <w:r w:rsidRPr="000C702A">
              <w:br w:type="page"/>
            </w:r>
            <w:r w:rsidRPr="000C702A">
              <w:br w:type="page"/>
            </w:r>
            <w:r w:rsidRPr="000C702A">
              <w:br w:type="page"/>
            </w:r>
            <w:r w:rsidRPr="000C702A">
              <w:br w:type="page"/>
            </w:r>
            <w:r w:rsidRPr="009C0006">
              <w:rPr>
                <w:bCs/>
                <w:spacing w:val="-1"/>
              </w:rPr>
              <w:t>ASKERLİK (DEĞİŞİKLİK) YASA</w:t>
            </w:r>
            <w:r>
              <w:rPr>
                <w:bCs/>
                <w:spacing w:val="-1"/>
              </w:rPr>
              <w:t>SI</w:t>
            </w:r>
          </w:p>
          <w:p w:rsidR="00874D53" w:rsidRPr="009C0006" w:rsidRDefault="00874D53" w:rsidP="00874D53">
            <w:pPr>
              <w:jc w:val="center"/>
              <w:rPr>
                <w:bCs/>
                <w:spacing w:val="-1"/>
              </w:rPr>
            </w:pPr>
          </w:p>
        </w:tc>
      </w:tr>
      <w:tr w:rsidR="0062473E" w:rsidRPr="000C702A" w:rsidTr="00897DAA">
        <w:trPr>
          <w:gridBefore w:val="1"/>
          <w:gridAfter w:val="1"/>
          <w:wBefore w:w="34" w:type="dxa"/>
          <w:wAfter w:w="99" w:type="dxa"/>
        </w:trPr>
        <w:tc>
          <w:tcPr>
            <w:tcW w:w="1727" w:type="dxa"/>
            <w:gridSpan w:val="2"/>
            <w:shd w:val="clear" w:color="auto" w:fill="auto"/>
          </w:tcPr>
          <w:p w:rsidR="0062473E" w:rsidRPr="000C702A" w:rsidRDefault="0062473E" w:rsidP="00897DAA"/>
        </w:tc>
        <w:tc>
          <w:tcPr>
            <w:tcW w:w="7834" w:type="dxa"/>
            <w:gridSpan w:val="5"/>
            <w:shd w:val="clear" w:color="auto" w:fill="auto"/>
          </w:tcPr>
          <w:p w:rsidR="0062473E" w:rsidRPr="009C0006" w:rsidRDefault="0062473E" w:rsidP="00897DAA"/>
          <w:p w:rsidR="0062473E" w:rsidRPr="009C0006" w:rsidRDefault="0062473E" w:rsidP="00897DAA">
            <w:pPr>
              <w:jc w:val="both"/>
            </w:pPr>
            <w:r w:rsidRPr="009C0006">
              <w:t xml:space="preserve">           Kuzey Kıbrıs Türk Cumhuriyeti Cumhuriyet Meclisi aşağıdaki Yasayı yapar:</w:t>
            </w:r>
            <w:bookmarkStart w:id="0" w:name="_GoBack"/>
            <w:bookmarkEnd w:id="0"/>
          </w:p>
          <w:p w:rsidR="0062473E" w:rsidRPr="009C0006" w:rsidRDefault="0062473E" w:rsidP="00897DAA"/>
        </w:tc>
      </w:tr>
      <w:tr w:rsidR="0062473E" w:rsidRPr="000C702A" w:rsidTr="00897DAA">
        <w:trPr>
          <w:gridBefore w:val="1"/>
          <w:gridAfter w:val="1"/>
          <w:wBefore w:w="34" w:type="dxa"/>
          <w:wAfter w:w="99" w:type="dxa"/>
        </w:trPr>
        <w:tc>
          <w:tcPr>
            <w:tcW w:w="1727" w:type="dxa"/>
            <w:gridSpan w:val="2"/>
            <w:shd w:val="clear" w:color="auto" w:fill="auto"/>
          </w:tcPr>
          <w:p w:rsidR="0062473E" w:rsidRPr="000C702A" w:rsidRDefault="0062473E" w:rsidP="00897DAA">
            <w:r w:rsidRPr="000C702A">
              <w:t>Kısa İsim</w:t>
            </w:r>
          </w:p>
          <w:p w:rsidR="0062473E" w:rsidRPr="000C702A" w:rsidRDefault="0062473E" w:rsidP="00897DAA">
            <w:r w:rsidRPr="000C702A">
              <w:rPr>
                <w:spacing w:val="-5"/>
              </w:rPr>
              <w:t>59/2000</w:t>
            </w:r>
          </w:p>
          <w:p w:rsidR="0062473E" w:rsidRPr="000C702A" w:rsidRDefault="0062473E" w:rsidP="00897DAA">
            <w:r>
              <w:rPr>
                <w:spacing w:val="-5"/>
              </w:rPr>
              <w:t xml:space="preserve">   </w:t>
            </w:r>
            <w:r w:rsidRPr="000C702A">
              <w:rPr>
                <w:spacing w:val="-5"/>
              </w:rPr>
              <w:t>43/2002</w:t>
            </w:r>
          </w:p>
          <w:p w:rsidR="0062473E" w:rsidRPr="000C702A" w:rsidRDefault="0062473E" w:rsidP="00897DAA">
            <w:r w:rsidRPr="000C702A">
              <w:rPr>
                <w:spacing w:val="-5"/>
              </w:rPr>
              <w:t xml:space="preserve"> </w:t>
            </w:r>
            <w:r>
              <w:rPr>
                <w:spacing w:val="-5"/>
              </w:rPr>
              <w:t xml:space="preserve">  </w:t>
            </w:r>
            <w:r w:rsidRPr="000C702A">
              <w:rPr>
                <w:spacing w:val="-5"/>
              </w:rPr>
              <w:t>59/2003</w:t>
            </w:r>
          </w:p>
          <w:p w:rsidR="0062473E" w:rsidRPr="000C702A" w:rsidRDefault="0062473E" w:rsidP="00897DAA">
            <w:r w:rsidRPr="000C702A">
              <w:rPr>
                <w:spacing w:val="-5"/>
              </w:rPr>
              <w:t xml:space="preserve">   </w:t>
            </w:r>
            <w:r>
              <w:rPr>
                <w:spacing w:val="-5"/>
              </w:rPr>
              <w:t xml:space="preserve"> </w:t>
            </w:r>
            <w:r w:rsidRPr="000C702A">
              <w:rPr>
                <w:spacing w:val="-5"/>
              </w:rPr>
              <w:t xml:space="preserve"> 4/2004</w:t>
            </w:r>
          </w:p>
          <w:p w:rsidR="0062473E" w:rsidRPr="000C702A" w:rsidRDefault="0062473E" w:rsidP="00897DAA">
            <w:r>
              <w:rPr>
                <w:spacing w:val="-5"/>
              </w:rPr>
              <w:t xml:space="preserve">    </w:t>
            </w:r>
            <w:r w:rsidRPr="000C702A">
              <w:rPr>
                <w:spacing w:val="-5"/>
              </w:rPr>
              <w:t xml:space="preserve"> 5/2005</w:t>
            </w:r>
          </w:p>
          <w:p w:rsidR="0062473E" w:rsidRPr="000C702A" w:rsidRDefault="0062473E" w:rsidP="00897DAA">
            <w:r>
              <w:rPr>
                <w:spacing w:val="-5"/>
              </w:rPr>
              <w:t xml:space="preserve">  </w:t>
            </w:r>
            <w:r w:rsidRPr="000C702A">
              <w:rPr>
                <w:spacing w:val="-5"/>
              </w:rPr>
              <w:t xml:space="preserve"> 22/2008</w:t>
            </w:r>
          </w:p>
          <w:p w:rsidR="0062473E" w:rsidRPr="000C702A" w:rsidRDefault="0062473E" w:rsidP="00897DAA">
            <w:r>
              <w:rPr>
                <w:spacing w:val="-5"/>
              </w:rPr>
              <w:t xml:space="preserve">   </w:t>
            </w:r>
            <w:r w:rsidRPr="000C702A">
              <w:rPr>
                <w:spacing w:val="-5"/>
              </w:rPr>
              <w:t>28/2008</w:t>
            </w:r>
          </w:p>
          <w:p w:rsidR="0062473E" w:rsidRPr="000C702A" w:rsidRDefault="0062473E" w:rsidP="00897DAA">
            <w:pPr>
              <w:rPr>
                <w:spacing w:val="-5"/>
              </w:rPr>
            </w:pPr>
            <w:r>
              <w:rPr>
                <w:spacing w:val="-5"/>
              </w:rPr>
              <w:t xml:space="preserve">   </w:t>
            </w:r>
            <w:r w:rsidRPr="000C702A">
              <w:rPr>
                <w:spacing w:val="-5"/>
              </w:rPr>
              <w:t>35/2009</w:t>
            </w:r>
          </w:p>
          <w:p w:rsidR="0062473E" w:rsidRPr="000C702A" w:rsidRDefault="0062473E" w:rsidP="00897DAA">
            <w:pPr>
              <w:outlineLvl w:val="0"/>
              <w:rPr>
                <w:bCs/>
              </w:rPr>
            </w:pPr>
            <w:r>
              <w:rPr>
                <w:bCs/>
              </w:rPr>
              <w:t xml:space="preserve">   </w:t>
            </w:r>
            <w:r w:rsidRPr="000C702A">
              <w:rPr>
                <w:bCs/>
              </w:rPr>
              <w:t>13/2012</w:t>
            </w:r>
          </w:p>
          <w:p w:rsidR="0062473E" w:rsidRPr="000C702A" w:rsidRDefault="0062473E" w:rsidP="00897DAA">
            <w:pPr>
              <w:outlineLvl w:val="0"/>
              <w:rPr>
                <w:bCs/>
              </w:rPr>
            </w:pPr>
            <w:r>
              <w:rPr>
                <w:bCs/>
              </w:rPr>
              <w:t xml:space="preserve">   </w:t>
            </w:r>
            <w:r w:rsidRPr="000C702A">
              <w:rPr>
                <w:bCs/>
              </w:rPr>
              <w:t>64/2014</w:t>
            </w:r>
          </w:p>
          <w:p w:rsidR="0062473E" w:rsidRPr="000C702A" w:rsidRDefault="0062473E" w:rsidP="00897DAA">
            <w:pPr>
              <w:rPr>
                <w:bCs/>
              </w:rPr>
            </w:pPr>
            <w:r>
              <w:rPr>
                <w:bCs/>
              </w:rPr>
              <w:t xml:space="preserve">     </w:t>
            </w:r>
            <w:r w:rsidRPr="000C702A">
              <w:rPr>
                <w:bCs/>
              </w:rPr>
              <w:t>6/2015</w:t>
            </w:r>
          </w:p>
          <w:p w:rsidR="0062473E" w:rsidRPr="000C702A" w:rsidRDefault="0062473E" w:rsidP="00897DAA">
            <w:pPr>
              <w:rPr>
                <w:bCs/>
              </w:rPr>
            </w:pPr>
            <w:r w:rsidRPr="000C702A">
              <w:rPr>
                <w:bCs/>
              </w:rPr>
              <w:t xml:space="preserve"> </w:t>
            </w:r>
            <w:r>
              <w:rPr>
                <w:bCs/>
              </w:rPr>
              <w:t xml:space="preserve"> </w:t>
            </w:r>
            <w:r w:rsidRPr="000C702A">
              <w:rPr>
                <w:bCs/>
              </w:rPr>
              <w:t xml:space="preserve"> 64/2017</w:t>
            </w:r>
          </w:p>
          <w:p w:rsidR="0062473E" w:rsidRPr="000C702A" w:rsidRDefault="0062473E" w:rsidP="00897DAA">
            <w:pPr>
              <w:rPr>
                <w:bCs/>
              </w:rPr>
            </w:pPr>
            <w:r w:rsidRPr="000C702A">
              <w:rPr>
                <w:bCs/>
              </w:rPr>
              <w:t xml:space="preserve"> </w:t>
            </w:r>
            <w:r>
              <w:rPr>
                <w:bCs/>
              </w:rPr>
              <w:t xml:space="preserve"> </w:t>
            </w:r>
            <w:r w:rsidRPr="000C702A">
              <w:rPr>
                <w:bCs/>
              </w:rPr>
              <w:t xml:space="preserve"> 65/2017</w:t>
            </w:r>
          </w:p>
          <w:p w:rsidR="0062473E" w:rsidRPr="000C702A" w:rsidRDefault="0062473E" w:rsidP="00897DAA">
            <w:pPr>
              <w:rPr>
                <w:bCs/>
              </w:rPr>
            </w:pPr>
            <w:r w:rsidRPr="000C702A">
              <w:rPr>
                <w:bCs/>
              </w:rPr>
              <w:t xml:space="preserve"> </w:t>
            </w:r>
            <w:r>
              <w:rPr>
                <w:bCs/>
              </w:rPr>
              <w:t xml:space="preserve"> </w:t>
            </w:r>
            <w:r w:rsidRPr="000C702A">
              <w:rPr>
                <w:bCs/>
              </w:rPr>
              <w:t xml:space="preserve"> 46/2020</w:t>
            </w:r>
          </w:p>
          <w:p w:rsidR="0062473E" w:rsidRPr="000C702A" w:rsidRDefault="0062473E" w:rsidP="00897DAA">
            <w:r>
              <w:rPr>
                <w:bCs/>
              </w:rPr>
              <w:t xml:space="preserve">   </w:t>
            </w:r>
            <w:r w:rsidRPr="000C702A">
              <w:rPr>
                <w:bCs/>
              </w:rPr>
              <w:t>12/2021</w:t>
            </w:r>
          </w:p>
          <w:p w:rsidR="0062473E" w:rsidRPr="000C702A" w:rsidRDefault="0062473E" w:rsidP="00897DAA"/>
        </w:tc>
        <w:tc>
          <w:tcPr>
            <w:tcW w:w="7834" w:type="dxa"/>
            <w:gridSpan w:val="5"/>
            <w:shd w:val="clear" w:color="auto" w:fill="auto"/>
          </w:tcPr>
          <w:p w:rsidR="0062473E" w:rsidRPr="009C0006" w:rsidRDefault="0062473E" w:rsidP="00897DAA">
            <w:pPr>
              <w:jc w:val="both"/>
            </w:pPr>
            <w:r w:rsidRPr="009C0006">
              <w:t xml:space="preserve">1. Bu Yasa, Askerlik (Değişiklik) Yasası olarak isimlendirilir ve aşağıda “Esas </w:t>
            </w:r>
            <w:r w:rsidRPr="009C0006">
              <w:rPr>
                <w:spacing w:val="-2"/>
              </w:rPr>
              <w:t>Yasa” olarak anılan Askerlik Yasası ile birlikte okunur.</w:t>
            </w:r>
          </w:p>
          <w:p w:rsidR="0062473E" w:rsidRPr="009C0006" w:rsidRDefault="0062473E" w:rsidP="00897DAA">
            <w:pPr>
              <w:jc w:val="both"/>
            </w:pPr>
          </w:p>
        </w:tc>
      </w:tr>
      <w:tr w:rsidR="0062473E" w:rsidRPr="000C702A" w:rsidTr="00897DAA">
        <w:trPr>
          <w:gridBefore w:val="1"/>
          <w:wBefore w:w="34" w:type="dxa"/>
        </w:trPr>
        <w:tc>
          <w:tcPr>
            <w:tcW w:w="1727" w:type="dxa"/>
            <w:gridSpan w:val="2"/>
            <w:shd w:val="clear" w:color="auto" w:fill="auto"/>
          </w:tcPr>
          <w:p w:rsidR="0062473E" w:rsidRPr="000C702A" w:rsidRDefault="0062473E" w:rsidP="00897DAA">
            <w:r w:rsidRPr="000C702A">
              <w:t xml:space="preserve">Esas Yasanın </w:t>
            </w:r>
            <w:r w:rsidRPr="000C702A">
              <w:rPr>
                <w:spacing w:val="-2"/>
              </w:rPr>
              <w:t xml:space="preserve">36’ncı </w:t>
            </w:r>
            <w:r w:rsidRPr="000C702A">
              <w:rPr>
                <w:spacing w:val="-3"/>
              </w:rPr>
              <w:t xml:space="preserve">Maddesinin </w:t>
            </w:r>
          </w:p>
        </w:tc>
        <w:tc>
          <w:tcPr>
            <w:tcW w:w="7933" w:type="dxa"/>
            <w:gridSpan w:val="6"/>
            <w:shd w:val="clear" w:color="auto" w:fill="auto"/>
          </w:tcPr>
          <w:p w:rsidR="0062473E" w:rsidRPr="009C0006" w:rsidRDefault="0062473E" w:rsidP="00897DAA">
            <w:pPr>
              <w:jc w:val="both"/>
            </w:pPr>
            <w:r w:rsidRPr="009C0006">
              <w:t>2. Esas Yasa, 36’ncı maddesinin (4)’üncü fıkrası kaldırılmak ve yerine aşağıdaki yeni (4)’üncü fıkra konmak</w:t>
            </w:r>
            <w:r w:rsidRPr="009C0006">
              <w:rPr>
                <w:spacing w:val="-2"/>
              </w:rPr>
              <w:t xml:space="preserve"> suretiyle değiştirilir:</w:t>
            </w:r>
          </w:p>
          <w:p w:rsidR="0062473E" w:rsidRPr="009C0006" w:rsidRDefault="0062473E" w:rsidP="00897DAA">
            <w:pPr>
              <w:jc w:val="both"/>
            </w:pPr>
          </w:p>
        </w:tc>
      </w:tr>
      <w:tr w:rsidR="0062473E" w:rsidRPr="000C702A" w:rsidTr="00897DAA">
        <w:trPr>
          <w:gridBefore w:val="1"/>
          <w:wBefore w:w="34" w:type="dxa"/>
        </w:trPr>
        <w:tc>
          <w:tcPr>
            <w:tcW w:w="1727" w:type="dxa"/>
            <w:gridSpan w:val="2"/>
            <w:shd w:val="clear" w:color="auto" w:fill="auto"/>
          </w:tcPr>
          <w:p w:rsidR="0062473E" w:rsidRPr="000C702A" w:rsidRDefault="0062473E" w:rsidP="00897DAA">
            <w:r w:rsidRPr="000C702A">
              <w:rPr>
                <w:spacing w:val="-2"/>
              </w:rPr>
              <w:t>Değiştirilmesi</w:t>
            </w:r>
          </w:p>
        </w:tc>
        <w:tc>
          <w:tcPr>
            <w:tcW w:w="368" w:type="dxa"/>
            <w:gridSpan w:val="2"/>
            <w:shd w:val="clear" w:color="auto" w:fill="auto"/>
          </w:tcPr>
          <w:p w:rsidR="0062473E" w:rsidRPr="009C0006" w:rsidRDefault="0062473E" w:rsidP="00897DAA">
            <w:pPr>
              <w:jc w:val="both"/>
            </w:pPr>
          </w:p>
        </w:tc>
        <w:tc>
          <w:tcPr>
            <w:tcW w:w="645" w:type="dxa"/>
            <w:gridSpan w:val="2"/>
            <w:shd w:val="clear" w:color="auto" w:fill="auto"/>
          </w:tcPr>
          <w:p w:rsidR="0062473E" w:rsidRPr="009C0006" w:rsidRDefault="0062473E" w:rsidP="00897DAA">
            <w:pPr>
              <w:jc w:val="both"/>
            </w:pPr>
            <w:r w:rsidRPr="009C0006">
              <w:t>“(4)</w:t>
            </w:r>
          </w:p>
        </w:tc>
        <w:tc>
          <w:tcPr>
            <w:tcW w:w="6920" w:type="dxa"/>
            <w:gridSpan w:val="2"/>
            <w:shd w:val="clear" w:color="auto" w:fill="auto"/>
          </w:tcPr>
          <w:p w:rsidR="0062473E" w:rsidRPr="009C0006" w:rsidRDefault="0062473E" w:rsidP="00897DAA">
            <w:pPr>
              <w:jc w:val="both"/>
            </w:pPr>
            <w:r w:rsidRPr="009C0006">
              <w:t>Yukarıdaki (1)’inci, (2)’</w:t>
            </w:r>
            <w:proofErr w:type="spellStart"/>
            <w:r w:rsidRPr="009C0006">
              <w:t>nci</w:t>
            </w:r>
            <w:proofErr w:type="spellEnd"/>
            <w:r w:rsidRPr="009C0006">
              <w:t xml:space="preserve"> ve (3)’üncü fıkra kuralları uyarınca ertelemeye bağlı tutulanlardan öğrenim, ihtisas veya stajlarını tamamlayanlar, tamamlamaktan vazgeçenler ve erteleme hakkı devam edenler, son erteleme bitim tarihinden başlayarak 3 (üç) ay içinde ASAL Şubeye müracaatla gerekli kayıtları yaptırmak zorundadırlar. Bu sürelere uymayanlara yoklama kaçağı işlemi yapılır.</w:t>
            </w:r>
            <w:r>
              <w:t>”</w:t>
            </w:r>
          </w:p>
          <w:p w:rsidR="0062473E" w:rsidRPr="009C0006" w:rsidRDefault="0062473E" w:rsidP="00897DAA">
            <w:pPr>
              <w:jc w:val="both"/>
            </w:pPr>
          </w:p>
        </w:tc>
      </w:tr>
      <w:tr w:rsidR="0062473E" w:rsidRPr="000C702A" w:rsidTr="00897DAA">
        <w:tc>
          <w:tcPr>
            <w:tcW w:w="1701" w:type="dxa"/>
            <w:gridSpan w:val="2"/>
            <w:shd w:val="clear" w:color="auto" w:fill="auto"/>
          </w:tcPr>
          <w:p w:rsidR="0062473E" w:rsidRPr="000C702A" w:rsidRDefault="0062473E" w:rsidP="00897DAA">
            <w:pPr>
              <w:rPr>
                <w:noProof/>
              </w:rPr>
            </w:pPr>
            <w:r w:rsidRPr="000C702A">
              <w:rPr>
                <w:noProof/>
              </w:rPr>
              <w:t xml:space="preserve">Geçici Madde </w:t>
            </w:r>
          </w:p>
          <w:p w:rsidR="0062473E" w:rsidRPr="000C702A" w:rsidRDefault="0062473E" w:rsidP="00897DAA">
            <w:pPr>
              <w:rPr>
                <w:noProof/>
              </w:rPr>
            </w:pPr>
            <w:r>
              <w:rPr>
                <w:noProof/>
              </w:rPr>
              <w:t>Yüksek</w:t>
            </w:r>
          </w:p>
        </w:tc>
        <w:tc>
          <w:tcPr>
            <w:tcW w:w="7993" w:type="dxa"/>
            <w:gridSpan w:val="7"/>
            <w:shd w:val="clear" w:color="auto" w:fill="auto"/>
          </w:tcPr>
          <w:p w:rsidR="0062473E" w:rsidRPr="009C0006" w:rsidRDefault="0062473E" w:rsidP="00897DAA">
            <w:pPr>
              <w:jc w:val="both"/>
            </w:pPr>
            <w:r>
              <w:t>1</w:t>
            </w:r>
            <w:r w:rsidRPr="009C0006">
              <w:t>. Bu (Değişiklik) Yasasının yürürlüğe girdiği tarihten önce Esas</w:t>
            </w:r>
            <w:r w:rsidRPr="009C0006">
              <w:rPr>
                <w:bCs/>
              </w:rPr>
              <w:t xml:space="preserve"> Yasanın 15’inci maddesi kapsamında olanlardan;</w:t>
            </w:r>
          </w:p>
        </w:tc>
      </w:tr>
      <w:tr w:rsidR="0062473E" w:rsidRPr="000C702A" w:rsidTr="00897DAA">
        <w:tc>
          <w:tcPr>
            <w:tcW w:w="1701" w:type="dxa"/>
            <w:gridSpan w:val="2"/>
            <w:shd w:val="clear" w:color="auto" w:fill="auto"/>
          </w:tcPr>
          <w:p w:rsidR="0062473E" w:rsidRPr="000C702A" w:rsidRDefault="0062473E" w:rsidP="00897DAA">
            <w:pPr>
              <w:rPr>
                <w:noProof/>
              </w:rPr>
            </w:pPr>
            <w:r w:rsidRPr="000C702A">
              <w:rPr>
                <w:noProof/>
              </w:rPr>
              <w:t xml:space="preserve">Öğrenime </w:t>
            </w:r>
            <w:r w:rsidRPr="000C702A">
              <w:rPr>
                <w:noProof/>
              </w:rPr>
              <w:lastRenderedPageBreak/>
              <w:t xml:space="preserve">Bağlı Bedelli </w:t>
            </w:r>
          </w:p>
        </w:tc>
        <w:tc>
          <w:tcPr>
            <w:tcW w:w="428" w:type="dxa"/>
            <w:gridSpan w:val="3"/>
            <w:shd w:val="clear" w:color="auto" w:fill="auto"/>
          </w:tcPr>
          <w:p w:rsidR="0062473E" w:rsidRPr="009C0006" w:rsidRDefault="0062473E" w:rsidP="00897DAA">
            <w:pPr>
              <w:jc w:val="right"/>
            </w:pPr>
          </w:p>
        </w:tc>
        <w:tc>
          <w:tcPr>
            <w:tcW w:w="519" w:type="dxa"/>
            <w:shd w:val="clear" w:color="auto" w:fill="auto"/>
          </w:tcPr>
          <w:p w:rsidR="0062473E" w:rsidRPr="009C0006" w:rsidRDefault="0062473E" w:rsidP="00897DAA">
            <w:pPr>
              <w:jc w:val="both"/>
            </w:pPr>
            <w:r w:rsidRPr="009C0006">
              <w:t>(1)</w:t>
            </w:r>
          </w:p>
        </w:tc>
        <w:tc>
          <w:tcPr>
            <w:tcW w:w="7046" w:type="dxa"/>
            <w:gridSpan w:val="3"/>
            <w:shd w:val="clear" w:color="auto" w:fill="auto"/>
          </w:tcPr>
          <w:p w:rsidR="0062473E" w:rsidRPr="009C0006" w:rsidRDefault="0062473E" w:rsidP="00897DAA">
            <w:pPr>
              <w:jc w:val="both"/>
            </w:pPr>
            <w:r>
              <w:t>Esas Yasanın 12’</w:t>
            </w:r>
            <w:r w:rsidRPr="009C0006">
              <w:t xml:space="preserve">nci maddesinin (1)’inci fıkrasında belirtilen süre </w:t>
            </w:r>
            <w:r w:rsidRPr="009C0006">
              <w:lastRenderedPageBreak/>
              <w:t xml:space="preserve">içerisinde müracaat </w:t>
            </w:r>
            <w:proofErr w:type="gramStart"/>
            <w:r w:rsidRPr="009C0006">
              <w:t>etmeyenler;</w:t>
            </w:r>
            <w:proofErr w:type="gramEnd"/>
            <w:r w:rsidRPr="009C0006">
              <w:t xml:space="preserve"> ve/veya </w:t>
            </w:r>
          </w:p>
        </w:tc>
      </w:tr>
      <w:tr w:rsidR="0062473E" w:rsidRPr="000C702A" w:rsidTr="00897DAA">
        <w:tc>
          <w:tcPr>
            <w:tcW w:w="1701" w:type="dxa"/>
            <w:gridSpan w:val="2"/>
            <w:shd w:val="clear" w:color="auto" w:fill="auto"/>
          </w:tcPr>
          <w:p w:rsidR="0062473E" w:rsidRPr="000C702A" w:rsidRDefault="0062473E" w:rsidP="00897DAA">
            <w:pPr>
              <w:rPr>
                <w:noProof/>
              </w:rPr>
            </w:pPr>
            <w:r w:rsidRPr="000C702A">
              <w:rPr>
                <w:noProof/>
              </w:rPr>
              <w:lastRenderedPageBreak/>
              <w:t>Askerlikten Yararlandırma</w:t>
            </w:r>
          </w:p>
        </w:tc>
        <w:tc>
          <w:tcPr>
            <w:tcW w:w="428" w:type="dxa"/>
            <w:gridSpan w:val="3"/>
            <w:shd w:val="clear" w:color="auto" w:fill="auto"/>
          </w:tcPr>
          <w:p w:rsidR="0062473E" w:rsidRPr="009C0006" w:rsidRDefault="0062473E" w:rsidP="00897DAA">
            <w:pPr>
              <w:jc w:val="both"/>
            </w:pPr>
          </w:p>
        </w:tc>
        <w:tc>
          <w:tcPr>
            <w:tcW w:w="519" w:type="dxa"/>
            <w:shd w:val="clear" w:color="auto" w:fill="auto"/>
          </w:tcPr>
          <w:p w:rsidR="0062473E" w:rsidRPr="009C0006" w:rsidRDefault="0062473E" w:rsidP="00897DAA">
            <w:pPr>
              <w:jc w:val="both"/>
            </w:pPr>
            <w:r w:rsidRPr="009C0006">
              <w:t>(2)</w:t>
            </w:r>
          </w:p>
        </w:tc>
        <w:tc>
          <w:tcPr>
            <w:tcW w:w="7046" w:type="dxa"/>
            <w:gridSpan w:val="3"/>
            <w:shd w:val="clear" w:color="auto" w:fill="auto"/>
          </w:tcPr>
          <w:p w:rsidR="0062473E" w:rsidRPr="009C0006" w:rsidRDefault="0062473E" w:rsidP="00897DAA">
            <w:pPr>
              <w:jc w:val="both"/>
            </w:pPr>
            <w:r w:rsidRPr="009C0006">
              <w:t xml:space="preserve">Esas Yasanın 33’üncü maddesi uyarınca yoklama kaçağı </w:t>
            </w:r>
            <w:proofErr w:type="gramStart"/>
            <w:r w:rsidRPr="009C0006">
              <w:t>olanlar;</w:t>
            </w:r>
            <w:proofErr w:type="gramEnd"/>
            <w:r w:rsidRPr="009C0006">
              <w:t xml:space="preserve"> ve/veya </w:t>
            </w:r>
          </w:p>
        </w:tc>
      </w:tr>
      <w:tr w:rsidR="0062473E" w:rsidRPr="000C702A" w:rsidTr="00897DAA">
        <w:tc>
          <w:tcPr>
            <w:tcW w:w="1701" w:type="dxa"/>
            <w:gridSpan w:val="2"/>
            <w:shd w:val="clear" w:color="auto" w:fill="auto"/>
          </w:tcPr>
          <w:p w:rsidR="0062473E" w:rsidRPr="000C702A" w:rsidRDefault="0062473E" w:rsidP="00897DAA">
            <w:pPr>
              <w:rPr>
                <w:noProof/>
              </w:rPr>
            </w:pPr>
          </w:p>
        </w:tc>
        <w:tc>
          <w:tcPr>
            <w:tcW w:w="428" w:type="dxa"/>
            <w:gridSpan w:val="3"/>
            <w:shd w:val="clear" w:color="auto" w:fill="auto"/>
          </w:tcPr>
          <w:p w:rsidR="0062473E" w:rsidRPr="009C0006" w:rsidRDefault="0062473E" w:rsidP="00897DAA">
            <w:pPr>
              <w:jc w:val="both"/>
            </w:pPr>
          </w:p>
        </w:tc>
        <w:tc>
          <w:tcPr>
            <w:tcW w:w="519" w:type="dxa"/>
            <w:shd w:val="clear" w:color="auto" w:fill="auto"/>
          </w:tcPr>
          <w:p w:rsidR="0062473E" w:rsidRPr="009C0006" w:rsidRDefault="0062473E" w:rsidP="00897DAA">
            <w:pPr>
              <w:jc w:val="both"/>
            </w:pPr>
            <w:r w:rsidRPr="009C0006">
              <w:t>(3)</w:t>
            </w:r>
          </w:p>
        </w:tc>
        <w:tc>
          <w:tcPr>
            <w:tcW w:w="7046" w:type="dxa"/>
            <w:gridSpan w:val="3"/>
            <w:shd w:val="clear" w:color="auto" w:fill="auto"/>
          </w:tcPr>
          <w:p w:rsidR="0062473E" w:rsidRPr="009C0006" w:rsidRDefault="0062473E" w:rsidP="00897DAA">
            <w:pPr>
              <w:jc w:val="both"/>
            </w:pPr>
            <w:r w:rsidRPr="009C0006">
              <w:t xml:space="preserve">Esas Yasanın 36’ncı maddesinin (4)’üncü fıkrasında belirtilen süreler içerisinde müracaat </w:t>
            </w:r>
            <w:proofErr w:type="gramStart"/>
            <w:r w:rsidRPr="009C0006">
              <w:t>etmeyenler;</w:t>
            </w:r>
            <w:proofErr w:type="gramEnd"/>
            <w:r w:rsidRPr="009C0006">
              <w:t xml:space="preserve"> ve/veya</w:t>
            </w:r>
          </w:p>
        </w:tc>
      </w:tr>
      <w:tr w:rsidR="0062473E" w:rsidRPr="000C702A" w:rsidTr="00897DAA">
        <w:tc>
          <w:tcPr>
            <w:tcW w:w="1701" w:type="dxa"/>
            <w:gridSpan w:val="2"/>
            <w:shd w:val="clear" w:color="auto" w:fill="auto"/>
          </w:tcPr>
          <w:p w:rsidR="0062473E" w:rsidRPr="000C702A" w:rsidRDefault="0062473E" w:rsidP="00897DAA">
            <w:pPr>
              <w:rPr>
                <w:noProof/>
              </w:rPr>
            </w:pPr>
          </w:p>
        </w:tc>
        <w:tc>
          <w:tcPr>
            <w:tcW w:w="428" w:type="dxa"/>
            <w:gridSpan w:val="3"/>
            <w:shd w:val="clear" w:color="auto" w:fill="auto"/>
          </w:tcPr>
          <w:p w:rsidR="0062473E" w:rsidRPr="009C0006" w:rsidRDefault="0062473E" w:rsidP="00897DAA">
            <w:pPr>
              <w:jc w:val="both"/>
            </w:pPr>
          </w:p>
        </w:tc>
        <w:tc>
          <w:tcPr>
            <w:tcW w:w="519" w:type="dxa"/>
            <w:shd w:val="clear" w:color="auto" w:fill="auto"/>
          </w:tcPr>
          <w:p w:rsidR="0062473E" w:rsidRPr="009C0006" w:rsidRDefault="0062473E" w:rsidP="00897DAA">
            <w:pPr>
              <w:jc w:val="both"/>
            </w:pPr>
            <w:r w:rsidRPr="009C0006">
              <w:t>(4)</w:t>
            </w:r>
          </w:p>
        </w:tc>
        <w:tc>
          <w:tcPr>
            <w:tcW w:w="7046" w:type="dxa"/>
            <w:gridSpan w:val="3"/>
            <w:shd w:val="clear" w:color="auto" w:fill="auto"/>
          </w:tcPr>
          <w:p w:rsidR="0062473E" w:rsidRPr="009C0006" w:rsidRDefault="0062473E" w:rsidP="00897DAA">
            <w:pPr>
              <w:jc w:val="both"/>
            </w:pPr>
            <w:r w:rsidRPr="009C0006">
              <w:t>Esas Yasanın 37’nci maddesinin (3)’üncü fık</w:t>
            </w:r>
            <w:r>
              <w:t>rası uyarınca 4 (dört) yıl çalı</w:t>
            </w:r>
            <w:r w:rsidRPr="009C0006">
              <w:t xml:space="preserve">şma süresi dolduktan sonra 12 (on iki) ay içerisinde ASAL Şubeye başvurmayanlar veya başvuruda bulunup 12 (on iki) ay içerisinde askerlik yükümlülüğünü yerine </w:t>
            </w:r>
            <w:proofErr w:type="gramStart"/>
            <w:r w:rsidRPr="009C0006">
              <w:t>getirmeyenler;</w:t>
            </w:r>
            <w:proofErr w:type="gramEnd"/>
            <w:r w:rsidRPr="009C0006">
              <w:t xml:space="preserve"> ve/veya</w:t>
            </w:r>
          </w:p>
        </w:tc>
      </w:tr>
      <w:tr w:rsidR="0062473E" w:rsidRPr="000C702A" w:rsidTr="00897DAA">
        <w:tc>
          <w:tcPr>
            <w:tcW w:w="1701" w:type="dxa"/>
            <w:gridSpan w:val="2"/>
            <w:shd w:val="clear" w:color="auto" w:fill="auto"/>
          </w:tcPr>
          <w:p w:rsidR="0062473E" w:rsidRPr="000C702A" w:rsidRDefault="0062473E" w:rsidP="00897DAA">
            <w:pPr>
              <w:rPr>
                <w:noProof/>
              </w:rPr>
            </w:pPr>
          </w:p>
        </w:tc>
        <w:tc>
          <w:tcPr>
            <w:tcW w:w="428" w:type="dxa"/>
            <w:gridSpan w:val="3"/>
            <w:shd w:val="clear" w:color="auto" w:fill="auto"/>
          </w:tcPr>
          <w:p w:rsidR="0062473E" w:rsidRPr="009C0006" w:rsidRDefault="0062473E" w:rsidP="00897DAA">
            <w:pPr>
              <w:jc w:val="both"/>
            </w:pPr>
          </w:p>
        </w:tc>
        <w:tc>
          <w:tcPr>
            <w:tcW w:w="519" w:type="dxa"/>
            <w:shd w:val="clear" w:color="auto" w:fill="auto"/>
          </w:tcPr>
          <w:p w:rsidR="0062473E" w:rsidRPr="009C0006" w:rsidRDefault="0062473E" w:rsidP="00897DAA">
            <w:pPr>
              <w:jc w:val="both"/>
            </w:pPr>
            <w:r w:rsidRPr="009C0006">
              <w:t>(5)</w:t>
            </w:r>
          </w:p>
        </w:tc>
        <w:tc>
          <w:tcPr>
            <w:tcW w:w="7046" w:type="dxa"/>
            <w:gridSpan w:val="3"/>
            <w:shd w:val="clear" w:color="auto" w:fill="auto"/>
          </w:tcPr>
          <w:p w:rsidR="0062473E" w:rsidRPr="009C0006" w:rsidRDefault="0062473E" w:rsidP="00897DAA">
            <w:pPr>
              <w:jc w:val="both"/>
            </w:pPr>
            <w:r w:rsidRPr="009C0006">
              <w:t xml:space="preserve">Esas Yasanın 38’inci maddesi uyarınca bakaya olup </w:t>
            </w:r>
            <w:proofErr w:type="gramStart"/>
            <w:r w:rsidRPr="009C0006">
              <w:t>yüksek öğrenime</w:t>
            </w:r>
            <w:proofErr w:type="gramEnd"/>
            <w:r w:rsidRPr="009C0006">
              <w:t xml:space="preserve"> bağlı bedelli askerlik hakkını kaybedenler,</w:t>
            </w:r>
          </w:p>
        </w:tc>
      </w:tr>
      <w:tr w:rsidR="0062473E" w:rsidRPr="000C702A" w:rsidTr="00897DAA">
        <w:tc>
          <w:tcPr>
            <w:tcW w:w="1701" w:type="dxa"/>
            <w:gridSpan w:val="2"/>
            <w:shd w:val="clear" w:color="auto" w:fill="auto"/>
          </w:tcPr>
          <w:p w:rsidR="0062473E" w:rsidRPr="000C702A" w:rsidRDefault="0062473E" w:rsidP="00897DAA">
            <w:pPr>
              <w:rPr>
                <w:noProof/>
              </w:rPr>
            </w:pPr>
            <w:r>
              <w:br w:type="page"/>
            </w:r>
          </w:p>
        </w:tc>
        <w:tc>
          <w:tcPr>
            <w:tcW w:w="428" w:type="dxa"/>
            <w:gridSpan w:val="3"/>
            <w:shd w:val="clear" w:color="auto" w:fill="auto"/>
          </w:tcPr>
          <w:p w:rsidR="0062473E" w:rsidRPr="009C0006" w:rsidRDefault="0062473E" w:rsidP="00897DAA">
            <w:pPr>
              <w:jc w:val="both"/>
            </w:pPr>
          </w:p>
        </w:tc>
        <w:tc>
          <w:tcPr>
            <w:tcW w:w="7565" w:type="dxa"/>
            <w:gridSpan w:val="4"/>
            <w:shd w:val="clear" w:color="auto" w:fill="auto"/>
          </w:tcPr>
          <w:p w:rsidR="0062473E" w:rsidRPr="009C0006" w:rsidRDefault="0062473E" w:rsidP="00897DAA">
            <w:pPr>
              <w:jc w:val="both"/>
            </w:pPr>
            <w:proofErr w:type="gramStart"/>
            <w:r w:rsidRPr="009C0006">
              <w:t>bu</w:t>
            </w:r>
            <w:proofErr w:type="gramEnd"/>
            <w:r w:rsidRPr="009C0006">
              <w:t xml:space="preserve"> (Değişiklik) Yasasının yürürlüğe girdiği tarihten itibaren 1 (bir) yıl içerisinde müracaat ettikleri ve bedelli askerlikten yararlanmak için Esas Yasanın 17’nci maddesinin (2)’</w:t>
            </w:r>
            <w:proofErr w:type="spellStart"/>
            <w:r w:rsidRPr="009C0006">
              <w:t>nci</w:t>
            </w:r>
            <w:proofErr w:type="spellEnd"/>
            <w:r w:rsidRPr="009C0006">
              <w:t xml:space="preserve"> fıkrası uyarınca ödemeleri gereken tutara ek olarak, aylık brüt asgari ücretin 3 (üç) katı tutarında Türk Lirası ödedikleri takdirde, 1 (bir) ay hizmet yapmak koşuluyla, askerlik mükellefiyetlerini yerine getirmiş sayılırlar.</w:t>
            </w:r>
          </w:p>
        </w:tc>
      </w:tr>
      <w:tr w:rsidR="0062473E" w:rsidRPr="000C702A" w:rsidTr="00897DAA">
        <w:trPr>
          <w:gridBefore w:val="1"/>
          <w:wBefore w:w="34" w:type="dxa"/>
        </w:trPr>
        <w:tc>
          <w:tcPr>
            <w:tcW w:w="1808" w:type="dxa"/>
            <w:gridSpan w:val="3"/>
            <w:shd w:val="clear" w:color="auto" w:fill="auto"/>
          </w:tcPr>
          <w:p w:rsidR="0062473E" w:rsidRPr="009C0006" w:rsidRDefault="0062473E" w:rsidP="00897DAA">
            <w:pPr>
              <w:jc w:val="both"/>
            </w:pPr>
            <w:r w:rsidRPr="009C0006">
              <w:br w:type="page"/>
            </w:r>
          </w:p>
          <w:p w:rsidR="0062473E" w:rsidRPr="009C0006" w:rsidRDefault="0062473E" w:rsidP="00897DAA">
            <w:pPr>
              <w:jc w:val="both"/>
              <w:rPr>
                <w:spacing w:val="-2"/>
              </w:rPr>
            </w:pPr>
            <w:r w:rsidRPr="009C0006">
              <w:rPr>
                <w:spacing w:val="-2"/>
              </w:rPr>
              <w:t xml:space="preserve">Geçici Madde </w:t>
            </w:r>
          </w:p>
          <w:p w:rsidR="0062473E" w:rsidRPr="009C0006" w:rsidRDefault="0062473E" w:rsidP="00897DAA">
            <w:pPr>
              <w:jc w:val="both"/>
              <w:rPr>
                <w:spacing w:val="-2"/>
              </w:rPr>
            </w:pPr>
            <w:r w:rsidRPr="009C0006">
              <w:rPr>
                <w:spacing w:val="-2"/>
              </w:rPr>
              <w:t>Yüksek Öğrenime Bağlı Bedelli Askerlik İçin İstisna</w:t>
            </w:r>
          </w:p>
        </w:tc>
        <w:tc>
          <w:tcPr>
            <w:tcW w:w="7852" w:type="dxa"/>
            <w:gridSpan w:val="5"/>
            <w:shd w:val="clear" w:color="auto" w:fill="auto"/>
          </w:tcPr>
          <w:p w:rsidR="0062473E" w:rsidRPr="009C0006" w:rsidRDefault="0062473E" w:rsidP="00897DAA">
            <w:pPr>
              <w:shd w:val="clear" w:color="auto" w:fill="FFFFFF"/>
              <w:tabs>
                <w:tab w:val="left" w:pos="2107"/>
              </w:tabs>
              <w:spacing w:before="250"/>
              <w:jc w:val="both"/>
              <w:rPr>
                <w:spacing w:val="-3"/>
              </w:rPr>
            </w:pPr>
            <w:r w:rsidRPr="009C0006">
              <w:rPr>
                <w:spacing w:val="-3"/>
              </w:rPr>
              <w:t>2.</w:t>
            </w:r>
            <w:r>
              <w:rPr>
                <w:spacing w:val="-3"/>
              </w:rPr>
              <w:t xml:space="preserve"> </w:t>
            </w:r>
            <w:r w:rsidRPr="009C0006">
              <w:rPr>
                <w:spacing w:val="-3"/>
              </w:rPr>
              <w:t>Kuzey Kıbrıs Türk Cumhuriyeti yurttaşı olan ve Esas Yasanın 15’inci maddesinin (2)’</w:t>
            </w:r>
            <w:proofErr w:type="spellStart"/>
            <w:r w:rsidRPr="009C0006">
              <w:rPr>
                <w:spacing w:val="-3"/>
              </w:rPr>
              <w:t>nci</w:t>
            </w:r>
            <w:proofErr w:type="spellEnd"/>
            <w:r w:rsidRPr="009C0006">
              <w:rPr>
                <w:spacing w:val="-3"/>
              </w:rPr>
              <w:t xml:space="preserve"> ve (3)’üncü fıkraları kapsamında yükümlülüklerini henüz tamamlamayan yükümlüler, bu (Değişiklik) Yasasının yürürlüğe girdiği tarihten itibaren</w:t>
            </w:r>
            <w:r>
              <w:rPr>
                <w:spacing w:val="-3"/>
              </w:rPr>
              <w:t xml:space="preserve"> 2 (iki) ay içerisinde</w:t>
            </w:r>
            <w:r w:rsidRPr="009C0006">
              <w:rPr>
                <w:spacing w:val="-3"/>
              </w:rPr>
              <w:t xml:space="preserve"> </w:t>
            </w:r>
            <w:proofErr w:type="gramStart"/>
            <w:r w:rsidRPr="009C0006">
              <w:rPr>
                <w:spacing w:val="-3"/>
              </w:rPr>
              <w:t>yüksek öğrenime</w:t>
            </w:r>
            <w:proofErr w:type="gramEnd"/>
            <w:r w:rsidRPr="009C0006">
              <w:rPr>
                <w:spacing w:val="-3"/>
              </w:rPr>
              <w:t xml:space="preserve"> devam ettiklerini, Eğitim İşleriyle Görevli Bakanlığın vereceği resmi belge ile kanıtlayarak yazılı olarak ASAL Şubeye başvurup Esas Yasanın 35’inci maddesinin (4)’üncü fıkrası ve 36’ncı maddesinin (5)’inci fıkrasındaki kurallara bakılmaksızın, öngörülen yükümlülüklerin</w:t>
            </w:r>
            <w:r>
              <w:rPr>
                <w:spacing w:val="-3"/>
              </w:rPr>
              <w:t>in</w:t>
            </w:r>
            <w:r w:rsidRPr="009C0006">
              <w:rPr>
                <w:spacing w:val="-3"/>
              </w:rPr>
              <w:t xml:space="preserve"> tamamlanmasını 31 Temmuz 2025 tarihine kadar erteleyebilirler. </w:t>
            </w:r>
            <w:proofErr w:type="gramStart"/>
            <w:r w:rsidRPr="009C0006">
              <w:rPr>
                <w:spacing w:val="-3"/>
              </w:rPr>
              <w:t>31 Ağustos 2025 tarihine kadar Esas Yasanın 15’inci maddesinin (2)’</w:t>
            </w:r>
            <w:proofErr w:type="spellStart"/>
            <w:r w:rsidRPr="009C0006">
              <w:rPr>
                <w:spacing w:val="-3"/>
              </w:rPr>
              <w:t>nci</w:t>
            </w:r>
            <w:proofErr w:type="spellEnd"/>
            <w:r w:rsidRPr="009C0006">
              <w:rPr>
                <w:spacing w:val="-3"/>
              </w:rPr>
              <w:t xml:space="preserve"> ve (3)’üncü fıkraları kapsamında yükümlülüklerini yerine getirenler, </w:t>
            </w:r>
            <w:r w:rsidRPr="009C0006">
              <w:t>Esas Yasanın 17’nci maddesinin (2)’</w:t>
            </w:r>
            <w:proofErr w:type="spellStart"/>
            <w:r w:rsidRPr="009C0006">
              <w:t>nci</w:t>
            </w:r>
            <w:proofErr w:type="spellEnd"/>
            <w:r w:rsidRPr="009C0006">
              <w:t xml:space="preserve"> fıkrası uyarınca ödemeleri gereken tutara ek olarak, aylık brüt asgari ücretin 5 (beş) katı tutarında Türk Lirası ödedikleri takdirde, 1 (bir) ay hizmet yapmak koşuluyla, askerlik mükellefiyetlerini yerine getirmiş sayılırlar.</w:t>
            </w:r>
            <w:proofErr w:type="gramEnd"/>
          </w:p>
        </w:tc>
      </w:tr>
      <w:tr w:rsidR="0062473E" w:rsidRPr="000C702A" w:rsidTr="00897DAA">
        <w:trPr>
          <w:gridBefore w:val="1"/>
          <w:wBefore w:w="34" w:type="dxa"/>
        </w:trPr>
        <w:tc>
          <w:tcPr>
            <w:tcW w:w="1808" w:type="dxa"/>
            <w:gridSpan w:val="3"/>
            <w:shd w:val="clear" w:color="auto" w:fill="auto"/>
          </w:tcPr>
          <w:p w:rsidR="0062473E" w:rsidRPr="009C0006" w:rsidRDefault="0062473E" w:rsidP="00897DAA">
            <w:pPr>
              <w:jc w:val="both"/>
              <w:rPr>
                <w:spacing w:val="-2"/>
              </w:rPr>
            </w:pPr>
          </w:p>
          <w:p w:rsidR="0062473E" w:rsidRPr="009C0006" w:rsidRDefault="0062473E" w:rsidP="00897DAA">
            <w:pPr>
              <w:jc w:val="both"/>
            </w:pPr>
            <w:r w:rsidRPr="009C0006">
              <w:rPr>
                <w:spacing w:val="-2"/>
              </w:rPr>
              <w:t>Yürürlüğe Giriş</w:t>
            </w:r>
          </w:p>
        </w:tc>
        <w:tc>
          <w:tcPr>
            <w:tcW w:w="7852" w:type="dxa"/>
            <w:gridSpan w:val="5"/>
            <w:shd w:val="clear" w:color="auto" w:fill="auto"/>
          </w:tcPr>
          <w:p w:rsidR="0062473E" w:rsidRPr="009C0006" w:rsidRDefault="0062473E" w:rsidP="00897DAA">
            <w:pPr>
              <w:shd w:val="clear" w:color="auto" w:fill="FFFFFF"/>
              <w:tabs>
                <w:tab w:val="left" w:pos="2107"/>
              </w:tabs>
              <w:spacing w:before="250"/>
              <w:jc w:val="both"/>
              <w:rPr>
                <w:spacing w:val="-3"/>
              </w:rPr>
            </w:pPr>
            <w:r w:rsidRPr="009C0006">
              <w:rPr>
                <w:spacing w:val="-3"/>
              </w:rPr>
              <w:t xml:space="preserve">3. Bu Yasa, Resmi </w:t>
            </w:r>
            <w:proofErr w:type="spellStart"/>
            <w:r w:rsidRPr="009C0006">
              <w:rPr>
                <w:spacing w:val="-3"/>
              </w:rPr>
              <w:t>Gazete’de</w:t>
            </w:r>
            <w:proofErr w:type="spellEnd"/>
            <w:r w:rsidRPr="009C0006">
              <w:rPr>
                <w:spacing w:val="-3"/>
              </w:rPr>
              <w:t xml:space="preserve"> yayımlandığı tarihten başlayarak yürürlüğe girer.</w:t>
            </w:r>
          </w:p>
          <w:p w:rsidR="0062473E" w:rsidRPr="009C0006" w:rsidRDefault="0062473E" w:rsidP="00897DAA">
            <w:pPr>
              <w:shd w:val="clear" w:color="auto" w:fill="FFFFFF"/>
              <w:tabs>
                <w:tab w:val="left" w:pos="2107"/>
              </w:tabs>
              <w:spacing w:before="250"/>
              <w:jc w:val="both"/>
            </w:pPr>
          </w:p>
        </w:tc>
      </w:tr>
    </w:tbl>
    <w:p w:rsidR="002F081A" w:rsidRDefault="002F081A"/>
    <w:sectPr w:rsidR="002F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26"/>
    <w:rsid w:val="002F081A"/>
    <w:rsid w:val="0062473E"/>
    <w:rsid w:val="00874D53"/>
    <w:rsid w:val="00F3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3E"/>
    <w:pPr>
      <w:spacing w:after="0" w:line="240" w:lineRule="auto"/>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3E"/>
    <w:pPr>
      <w:spacing w:after="0" w:line="240" w:lineRule="auto"/>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Baysal</dc:creator>
  <cp:keywords/>
  <dc:description/>
  <cp:lastModifiedBy>Aysel Baysal</cp:lastModifiedBy>
  <cp:revision>3</cp:revision>
  <dcterms:created xsi:type="dcterms:W3CDTF">2024-03-27T07:00:00Z</dcterms:created>
  <dcterms:modified xsi:type="dcterms:W3CDTF">2024-03-27T07:16:00Z</dcterms:modified>
</cp:coreProperties>
</file>