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22" w:rsidRDefault="00052622" w:rsidP="000526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2">
        <w:rPr>
          <w:rFonts w:ascii="Times New Roman" w:hAnsi="Times New Roman" w:cs="Times New Roman"/>
          <w:sz w:val="24"/>
          <w:szCs w:val="24"/>
        </w:rPr>
        <w:t>Kuzey Kıbrıs Türk Cumhuriyeti Cumhuriyet Meclisi’nin 25 Ağustos 2023 tarihli Altıncı Olağanüstü Birleşiminde Oybirliğiyle kabul olunan “</w:t>
      </w:r>
      <w:r w:rsidRPr="00751A96">
        <w:rPr>
          <w:rFonts w:ascii="Times New Roman" w:hAnsi="Times New Roman" w:cs="Times New Roman"/>
          <w:sz w:val="24"/>
          <w:szCs w:val="24"/>
        </w:rPr>
        <w:t xml:space="preserve">Engellileri Koruma, Rehabilite ve İstihdam (Değişiklik) </w:t>
      </w:r>
      <w:r w:rsidRPr="00052622">
        <w:rPr>
          <w:rFonts w:ascii="Times New Roman" w:hAnsi="Times New Roman" w:cs="Times New Roman"/>
          <w:sz w:val="24"/>
          <w:szCs w:val="24"/>
        </w:rPr>
        <w:t>Yasası” Anayasanın 94'üncü maddesinin (1)'inci fıkrası gereğince Kuzey Kıbrıs Türk Cumhuriyeti Cumhurbaşkanı tarafından Resmi Gazete'de yayımlanmak suretiyle ilan olunur.</w:t>
      </w:r>
    </w:p>
    <w:p w:rsidR="00052622" w:rsidRPr="00052622" w:rsidRDefault="00052622" w:rsidP="000526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22">
        <w:rPr>
          <w:rFonts w:ascii="Times New Roman" w:hAnsi="Times New Roman" w:cs="Times New Roman"/>
          <w:sz w:val="24"/>
          <w:szCs w:val="24"/>
        </w:rPr>
        <w:tab/>
      </w:r>
    </w:p>
    <w:p w:rsidR="00052622" w:rsidRDefault="00052622" w:rsidP="0005262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47</w:t>
      </w:r>
      <w:r w:rsidRPr="00052622">
        <w:rPr>
          <w:rFonts w:ascii="Times New Roman" w:hAnsi="Times New Roman" w:cs="Times New Roman"/>
          <w:sz w:val="24"/>
          <w:szCs w:val="24"/>
        </w:rPr>
        <w:t>/2023</w:t>
      </w:r>
    </w:p>
    <w:p w:rsidR="00052622" w:rsidRPr="00751A96" w:rsidRDefault="00052622" w:rsidP="0005262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763"/>
        <w:gridCol w:w="417"/>
        <w:gridCol w:w="1023"/>
        <w:gridCol w:w="678"/>
        <w:gridCol w:w="5982"/>
      </w:tblGrid>
      <w:tr w:rsidR="00D83361" w:rsidRPr="00751A96" w:rsidTr="00A82CA1">
        <w:trPr>
          <w:gridBefore w:val="1"/>
          <w:wBefore w:w="17" w:type="dxa"/>
          <w:trHeight w:val="435"/>
        </w:trPr>
        <w:tc>
          <w:tcPr>
            <w:tcW w:w="9863" w:type="dxa"/>
            <w:gridSpan w:val="5"/>
          </w:tcPr>
          <w:p w:rsidR="00D83361" w:rsidRPr="00751A96" w:rsidRDefault="00D83361" w:rsidP="00A82C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>ENGELLİLERİ KORUMA, REHABİLİTE VE İSTİHDAM</w:t>
            </w:r>
          </w:p>
          <w:p w:rsidR="00D83361" w:rsidRPr="00751A96" w:rsidRDefault="00D83361" w:rsidP="0081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(DEĞİŞİKLİK) YASA</w:t>
            </w:r>
            <w:r w:rsidR="0081116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D83361" w:rsidRPr="00751A96" w:rsidTr="00A82CA1">
        <w:trPr>
          <w:gridBefore w:val="1"/>
          <w:wBefore w:w="17" w:type="dxa"/>
          <w:trHeight w:val="287"/>
        </w:trPr>
        <w:tc>
          <w:tcPr>
            <w:tcW w:w="9863" w:type="dxa"/>
            <w:gridSpan w:val="5"/>
          </w:tcPr>
          <w:p w:rsidR="00D83361" w:rsidRPr="00751A96" w:rsidRDefault="00D83361" w:rsidP="00A82C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61" w:rsidRPr="00751A96" w:rsidTr="00A82CA1">
        <w:trPr>
          <w:gridBefore w:val="1"/>
          <w:wBefore w:w="17" w:type="dxa"/>
          <w:trHeight w:val="287"/>
        </w:trPr>
        <w:tc>
          <w:tcPr>
            <w:tcW w:w="1763" w:type="dxa"/>
          </w:tcPr>
          <w:p w:rsidR="00D83361" w:rsidRPr="00751A96" w:rsidRDefault="00D83361" w:rsidP="00A82C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</w:tcPr>
          <w:p w:rsidR="00D83361" w:rsidRPr="00751A96" w:rsidRDefault="00D83361" w:rsidP="00A82C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D83361" w:rsidRPr="00751A96" w:rsidTr="00A82CA1">
        <w:trPr>
          <w:gridBefore w:val="1"/>
          <w:wBefore w:w="17" w:type="dxa"/>
          <w:trHeight w:val="287"/>
        </w:trPr>
        <w:tc>
          <w:tcPr>
            <w:tcW w:w="1763" w:type="dxa"/>
          </w:tcPr>
          <w:p w:rsidR="00D83361" w:rsidRPr="00751A96" w:rsidRDefault="00D83361" w:rsidP="00A82C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</w:tcPr>
          <w:p w:rsidR="00D83361" w:rsidRPr="00751A96" w:rsidRDefault="00D83361" w:rsidP="00A82C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61" w:rsidRPr="00751A96" w:rsidTr="00A82CA1">
        <w:trPr>
          <w:trHeight w:val="1636"/>
        </w:trPr>
        <w:tc>
          <w:tcPr>
            <w:tcW w:w="1780" w:type="dxa"/>
            <w:gridSpan w:val="2"/>
          </w:tcPr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>64/1993</w:t>
            </w:r>
          </w:p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51/1994       </w:t>
            </w:r>
          </w:p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52/2000   </w:t>
            </w:r>
          </w:p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69/2006</w:t>
            </w:r>
          </w:p>
          <w:p w:rsidR="00D83361" w:rsidRPr="00751A96" w:rsidRDefault="00D8336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39/2014</w:t>
            </w:r>
          </w:p>
          <w:p w:rsidR="003C148F" w:rsidRPr="00751A96" w:rsidRDefault="000A5D91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83361" w:rsidRPr="00751A96">
              <w:rPr>
                <w:rFonts w:ascii="Times New Roman" w:hAnsi="Times New Roman"/>
                <w:sz w:val="24"/>
                <w:szCs w:val="24"/>
              </w:rPr>
              <w:t>50/2020</w:t>
            </w:r>
          </w:p>
        </w:tc>
        <w:tc>
          <w:tcPr>
            <w:tcW w:w="8100" w:type="dxa"/>
            <w:gridSpan w:val="4"/>
          </w:tcPr>
          <w:p w:rsidR="00D83361" w:rsidRPr="00751A96" w:rsidRDefault="00D83361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1. Bu Yasa, Engellileri Koruma, Rehabilite ve İstihdam (Değişiklik) Yasası olarak isimlendirilir ve aşağıda “Esas Yasa” olarak anılan Engellileri Koruma Rehabilite ve İstihdam Yasası ile birlikte okunur.</w:t>
            </w:r>
          </w:p>
        </w:tc>
      </w:tr>
      <w:tr w:rsidR="001D4735" w:rsidRPr="00751A96" w:rsidTr="00A82CA1">
        <w:trPr>
          <w:trHeight w:val="80"/>
        </w:trPr>
        <w:tc>
          <w:tcPr>
            <w:tcW w:w="1780" w:type="dxa"/>
            <w:gridSpan w:val="2"/>
          </w:tcPr>
          <w:p w:rsidR="001D4735" w:rsidRPr="00751A96" w:rsidRDefault="001D4735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4"/>
          </w:tcPr>
          <w:p w:rsidR="001D4735" w:rsidRPr="00751A96" w:rsidRDefault="001D4735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EE" w:rsidRPr="00751A96" w:rsidTr="00E845CC">
        <w:trPr>
          <w:trHeight w:val="347"/>
        </w:trPr>
        <w:tc>
          <w:tcPr>
            <w:tcW w:w="1780" w:type="dxa"/>
            <w:gridSpan w:val="2"/>
          </w:tcPr>
          <w:p w:rsidR="007272EE" w:rsidRPr="00751A96" w:rsidRDefault="007272EE" w:rsidP="00345A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hAnsi="Times New Roman"/>
                <w:sz w:val="24"/>
                <w:szCs w:val="24"/>
              </w:rPr>
              <w:t>Esas Yasanın 6’ncı Maddesinin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A4E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8100" w:type="dxa"/>
            <w:gridSpan w:val="4"/>
          </w:tcPr>
          <w:p w:rsidR="007272EE" w:rsidRPr="00751A96" w:rsidRDefault="007272EE" w:rsidP="004E1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Esas Yasa, 6’ncı maddesinin (7)’nci fıkrasının (A) bendinin (b) alt bendinin (i) alt bendinin (cc)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(çç) alt bentleri kaldırılmak ve yerlerine sırasıyla aşağıdaki yeni (cc) ve (çç) alt bentleri konmak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 xml:space="preserve"> suretiyle değiştirilir:</w:t>
            </w:r>
          </w:p>
        </w:tc>
      </w:tr>
      <w:tr w:rsidR="00F978D2" w:rsidRPr="00751A96" w:rsidTr="00100AC9">
        <w:trPr>
          <w:trHeight w:val="292"/>
        </w:trPr>
        <w:tc>
          <w:tcPr>
            <w:tcW w:w="1780" w:type="dxa"/>
            <w:gridSpan w:val="2"/>
          </w:tcPr>
          <w:p w:rsidR="00F978D2" w:rsidRPr="00751A96" w:rsidRDefault="00F978D2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F978D2" w:rsidRPr="00751A96" w:rsidRDefault="00F978D2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978D2" w:rsidRPr="00751A96" w:rsidRDefault="00F978D2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F978D2" w:rsidRPr="00345A4E" w:rsidRDefault="00100AC9" w:rsidP="00F97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9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(cc) </w:t>
            </w:r>
          </w:p>
          <w:p w:rsidR="00F978D2" w:rsidRPr="00345A4E" w:rsidRDefault="00F978D2" w:rsidP="00345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2" w:type="dxa"/>
          </w:tcPr>
          <w:p w:rsidR="00F978D2" w:rsidRPr="00345A4E" w:rsidRDefault="00F978D2" w:rsidP="00F97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Ortaöğrenim</w:t>
            </w:r>
            <w:proofErr w:type="spellEnd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Lise</w:t>
            </w:r>
            <w:proofErr w:type="spellEnd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ezunları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alacakları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ilerlemeleri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barem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15’in son </w:t>
            </w:r>
            <w:bookmarkStart w:id="0" w:name="_Hlk141351098"/>
            <w:proofErr w:type="spellStart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kademesine</w:t>
            </w:r>
            <w:proofErr w:type="spellEnd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(10’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uncu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kademeye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End w:id="0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ilerlerler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78D2" w:rsidRPr="00751A96" w:rsidRDefault="00F978D2" w:rsidP="00F97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Ancak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arem</w:t>
            </w:r>
            <w:proofErr w:type="spellEnd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15’in son </w:t>
            </w:r>
            <w:proofErr w:type="spellStart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kademesinde</w:t>
            </w:r>
            <w:proofErr w:type="spellEnd"/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(10’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uncu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kademede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çalışmış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hizmetinde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proofErr w:type="gram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yapmış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olanlar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Baremin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kademesinden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çekerler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Bareminin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kademesinden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çeken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hizmetinde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yapmış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olanlar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Baremin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0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kademesinden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maaş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çekerler</w:t>
            </w:r>
            <w:proofErr w:type="spellEnd"/>
            <w:r w:rsidRPr="003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7F34" w:rsidRPr="00751A96" w:rsidTr="00100AC9">
        <w:trPr>
          <w:trHeight w:val="347"/>
        </w:trPr>
        <w:tc>
          <w:tcPr>
            <w:tcW w:w="1780" w:type="dxa"/>
            <w:gridSpan w:val="2"/>
          </w:tcPr>
          <w:p w:rsidR="00957F34" w:rsidRPr="00751A96" w:rsidRDefault="00957F34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57F34" w:rsidRPr="00751A96" w:rsidRDefault="00957F34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57F34" w:rsidRPr="00751A96" w:rsidRDefault="00957F34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57F34" w:rsidRPr="00345A4E" w:rsidRDefault="00957F34" w:rsidP="0095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(çç) </w:t>
            </w:r>
          </w:p>
        </w:tc>
        <w:tc>
          <w:tcPr>
            <w:tcW w:w="5982" w:type="dxa"/>
          </w:tcPr>
          <w:p w:rsidR="00957F34" w:rsidRDefault="00957F34" w:rsidP="00D6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Yükseköğrenim 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(Lis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) m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ezunları alacakları kademe ilerlemeleri ile barem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’n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 xml:space="preserve"> son kademesine (10’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uncu kademeye) kadar ilerlerler.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7F34" w:rsidRPr="00751A96" w:rsidRDefault="00957F34" w:rsidP="00D6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Ancak Ba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rem 16’nın son kademesinde (10’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uncu kademede) en az bir yıl çalışmış ve Devlet hizmetinde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(yirmi) 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yıl görev yapmış olanlar Baremin 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 kademesinden maaş çekerler. Bareminin 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 kademesinden en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 yıl maaş çeken ve Devlet hizmetinde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(yirmi beş) 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yıl görev yapmış olanlar ise Baremin 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5A4E">
              <w:rPr>
                <w:rFonts w:ascii="Times New Roman" w:hAnsi="Times New Roman" w:cs="Times New Roman"/>
                <w:sz w:val="24"/>
                <w:szCs w:val="24"/>
              </w:rPr>
              <w:t xml:space="preserve"> kademesinden maaş çekerler.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83361" w:rsidRPr="00751A96" w:rsidTr="00A82CA1">
        <w:trPr>
          <w:trHeight w:val="80"/>
        </w:trPr>
        <w:tc>
          <w:tcPr>
            <w:tcW w:w="1780" w:type="dxa"/>
            <w:gridSpan w:val="2"/>
          </w:tcPr>
          <w:p w:rsidR="00D83361" w:rsidRPr="00751A96" w:rsidRDefault="00033F02" w:rsidP="00A82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A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8100" w:type="dxa"/>
            <w:gridSpan w:val="4"/>
          </w:tcPr>
          <w:p w:rsidR="00D83361" w:rsidRPr="00751A96" w:rsidRDefault="00D83361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4E" w:rsidRDefault="00345A4E">
      <w:bookmarkStart w:id="1" w:name="_GoBack"/>
      <w:bookmarkEnd w:id="1"/>
    </w:p>
    <w:tbl>
      <w:tblPr>
        <w:tblW w:w="9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8100"/>
      </w:tblGrid>
      <w:tr w:rsidR="00B21A82" w:rsidRPr="00751A96" w:rsidTr="00A82CA1">
        <w:trPr>
          <w:trHeight w:val="80"/>
        </w:trPr>
        <w:tc>
          <w:tcPr>
            <w:tcW w:w="1780" w:type="dxa"/>
          </w:tcPr>
          <w:p w:rsidR="00B21A82" w:rsidRPr="00751A96" w:rsidRDefault="00B21A82" w:rsidP="00A82CA1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1A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Geçici Madde</w:t>
            </w:r>
          </w:p>
          <w:p w:rsidR="00B21A82" w:rsidRPr="00751A96" w:rsidRDefault="00B21A82" w:rsidP="00A82CA1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51A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50/2020 Sayılı (Değişiklik) Yasasının Yürürlüğe </w:t>
            </w:r>
            <w:r w:rsidR="00825405" w:rsidRPr="00751A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Girdiği Tarihten </w:t>
            </w:r>
            <w:r w:rsidR="007350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Önce Kamuda İstihdam Edilen Engellilere</w:t>
            </w:r>
            <w:r w:rsidRPr="00751A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İlişkin Kural</w:t>
            </w:r>
          </w:p>
        </w:tc>
        <w:tc>
          <w:tcPr>
            <w:tcW w:w="8100" w:type="dxa"/>
          </w:tcPr>
          <w:p w:rsidR="00B21A82" w:rsidRPr="00751A96" w:rsidRDefault="00B21A82" w:rsidP="0073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1. 50/2020 Sayılı (Değişiklik) Yasası</w:t>
            </w:r>
            <w:r w:rsidR="00735074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 xml:space="preserve"> yürürlüğe girdiği tarihten önce</w:t>
            </w:r>
            <w:r w:rsidR="00735074">
              <w:rPr>
                <w:rFonts w:ascii="Times New Roman" w:hAnsi="Times New Roman" w:cs="Times New Roman"/>
                <w:sz w:val="24"/>
                <w:szCs w:val="24"/>
              </w:rPr>
              <w:t xml:space="preserve"> kamuda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 xml:space="preserve"> istihdam edilmiş olup atandığı baremin eğitim koşulunun üzerinde eğitim alanlara, bu Yasanın 6’ncı maddesinin (7)’nci fıkrasının (A) bendinin (b)</w:t>
            </w:r>
            <w:r w:rsidR="00100AC9">
              <w:rPr>
                <w:rFonts w:ascii="Times New Roman" w:hAnsi="Times New Roman" w:cs="Times New Roman"/>
                <w:sz w:val="24"/>
                <w:szCs w:val="24"/>
              </w:rPr>
              <w:t xml:space="preserve"> alt</w:t>
            </w: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 xml:space="preserve"> bendi kuralları uyarınca yeniden barem düzenlemesi yapılır.</w:t>
            </w:r>
          </w:p>
        </w:tc>
      </w:tr>
      <w:tr w:rsidR="00B21A82" w:rsidRPr="00751A96" w:rsidTr="00A82CA1">
        <w:trPr>
          <w:trHeight w:val="80"/>
        </w:trPr>
        <w:tc>
          <w:tcPr>
            <w:tcW w:w="1780" w:type="dxa"/>
          </w:tcPr>
          <w:p w:rsidR="00B21A82" w:rsidRPr="00751A96" w:rsidRDefault="00B21A82" w:rsidP="00A82CA1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</w:tcPr>
          <w:p w:rsidR="00B21A82" w:rsidRPr="00751A96" w:rsidRDefault="00B21A82" w:rsidP="00A8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82" w:rsidRPr="00751A96" w:rsidTr="00A82CA1">
        <w:trPr>
          <w:trHeight w:val="315"/>
        </w:trPr>
        <w:tc>
          <w:tcPr>
            <w:tcW w:w="1780" w:type="dxa"/>
          </w:tcPr>
          <w:p w:rsidR="00B21A82" w:rsidRPr="00751A96" w:rsidRDefault="00B21A82" w:rsidP="00A8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6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8100" w:type="dxa"/>
          </w:tcPr>
          <w:p w:rsidR="00B21A82" w:rsidRPr="00751A96" w:rsidRDefault="00751A96" w:rsidP="00A82CA1">
            <w:pPr>
              <w:spacing w:after="0" w:line="240" w:lineRule="auto"/>
              <w:ind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82" w:rsidRPr="00751A96">
              <w:rPr>
                <w:rFonts w:ascii="Times New Roman" w:hAnsi="Times New Roman" w:cs="Times New Roman"/>
                <w:sz w:val="24"/>
                <w:szCs w:val="24"/>
              </w:rPr>
              <w:t>3. Bu Yasa, Resmi Gazete’de yayımlandığı tarihten başlayarak yürürlüğe girer.</w:t>
            </w:r>
          </w:p>
        </w:tc>
      </w:tr>
    </w:tbl>
    <w:p w:rsidR="00D83361" w:rsidRPr="00751A96" w:rsidRDefault="00D83361" w:rsidP="007A5C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361" w:rsidRPr="00751A96" w:rsidSect="009B74F6">
      <w:footerReference w:type="default" r:id="rId9"/>
      <w:footerReference w:type="first" r:id="rId10"/>
      <w:pgSz w:w="12240" w:h="15840"/>
      <w:pgMar w:top="851" w:right="1417" w:bottom="1276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F" w:rsidRDefault="00B75A4F">
      <w:pPr>
        <w:spacing w:after="0" w:line="240" w:lineRule="auto"/>
      </w:pPr>
      <w:r>
        <w:separator/>
      </w:r>
    </w:p>
  </w:endnote>
  <w:endnote w:type="continuationSeparator" w:id="0">
    <w:p w:rsidR="00B75A4F" w:rsidRDefault="00B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46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E2A" w:rsidRDefault="00FF6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A4F" w:rsidRDefault="00B75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F6" w:rsidRDefault="009B74F6" w:rsidP="009B74F6">
    <w:pPr>
      <w:pStyle w:val="Footer"/>
    </w:pPr>
  </w:p>
  <w:p w:rsidR="009B74F6" w:rsidRDefault="009B7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F" w:rsidRDefault="00B75A4F">
      <w:pPr>
        <w:spacing w:after="0" w:line="240" w:lineRule="auto"/>
      </w:pPr>
      <w:r>
        <w:separator/>
      </w:r>
    </w:p>
  </w:footnote>
  <w:footnote w:type="continuationSeparator" w:id="0">
    <w:p w:rsidR="00B75A4F" w:rsidRDefault="00B7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62EB"/>
    <w:multiLevelType w:val="hybridMultilevel"/>
    <w:tmpl w:val="FEAC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6"/>
    <w:rsid w:val="00033F02"/>
    <w:rsid w:val="00052622"/>
    <w:rsid w:val="00054F3D"/>
    <w:rsid w:val="00082C83"/>
    <w:rsid w:val="000A5D91"/>
    <w:rsid w:val="00100AC9"/>
    <w:rsid w:val="001441C1"/>
    <w:rsid w:val="00160FE8"/>
    <w:rsid w:val="001D4735"/>
    <w:rsid w:val="00202F48"/>
    <w:rsid w:val="002A2AB7"/>
    <w:rsid w:val="00345A4E"/>
    <w:rsid w:val="003C148F"/>
    <w:rsid w:val="004059E4"/>
    <w:rsid w:val="004519EA"/>
    <w:rsid w:val="004B4CAB"/>
    <w:rsid w:val="004D4EC4"/>
    <w:rsid w:val="004E154E"/>
    <w:rsid w:val="004E3C8D"/>
    <w:rsid w:val="00522038"/>
    <w:rsid w:val="005D76DA"/>
    <w:rsid w:val="00615013"/>
    <w:rsid w:val="00627E11"/>
    <w:rsid w:val="00684EE4"/>
    <w:rsid w:val="00696BDF"/>
    <w:rsid w:val="006C2E6B"/>
    <w:rsid w:val="006F326D"/>
    <w:rsid w:val="007272EE"/>
    <w:rsid w:val="007342A5"/>
    <w:rsid w:val="00735074"/>
    <w:rsid w:val="00751A96"/>
    <w:rsid w:val="007642CA"/>
    <w:rsid w:val="0077592C"/>
    <w:rsid w:val="007A5C1F"/>
    <w:rsid w:val="007A5F8F"/>
    <w:rsid w:val="007B59D7"/>
    <w:rsid w:val="007B5F7B"/>
    <w:rsid w:val="008043C9"/>
    <w:rsid w:val="00811163"/>
    <w:rsid w:val="00825405"/>
    <w:rsid w:val="00857125"/>
    <w:rsid w:val="008651DE"/>
    <w:rsid w:val="00875FB5"/>
    <w:rsid w:val="00957F34"/>
    <w:rsid w:val="00964333"/>
    <w:rsid w:val="009B74F6"/>
    <w:rsid w:val="009F2924"/>
    <w:rsid w:val="00A45327"/>
    <w:rsid w:val="00A678A0"/>
    <w:rsid w:val="00A82CA1"/>
    <w:rsid w:val="00B00329"/>
    <w:rsid w:val="00B11641"/>
    <w:rsid w:val="00B21A82"/>
    <w:rsid w:val="00B55961"/>
    <w:rsid w:val="00B75A4F"/>
    <w:rsid w:val="00BA1259"/>
    <w:rsid w:val="00BB6DBF"/>
    <w:rsid w:val="00BF6076"/>
    <w:rsid w:val="00C676BD"/>
    <w:rsid w:val="00D12C27"/>
    <w:rsid w:val="00D60D4C"/>
    <w:rsid w:val="00D768D6"/>
    <w:rsid w:val="00D83361"/>
    <w:rsid w:val="00DF6E81"/>
    <w:rsid w:val="00E21813"/>
    <w:rsid w:val="00E60330"/>
    <w:rsid w:val="00F433A5"/>
    <w:rsid w:val="00F56E80"/>
    <w:rsid w:val="00F978D2"/>
    <w:rsid w:val="00FA20AF"/>
    <w:rsid w:val="00FD57DD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61"/>
  </w:style>
  <w:style w:type="paragraph" w:styleId="NoSpacing">
    <w:name w:val="No Spacing"/>
    <w:uiPriority w:val="1"/>
    <w:qFormat/>
    <w:rsid w:val="00D8336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D8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61"/>
  </w:style>
  <w:style w:type="paragraph" w:styleId="NoSpacing">
    <w:name w:val="No Spacing"/>
    <w:uiPriority w:val="1"/>
    <w:qFormat/>
    <w:rsid w:val="00D8336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D8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D0C0-95BF-4B94-98E1-6062DDE8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 sansal</dc:creator>
  <cp:lastModifiedBy>Tahir Temizel</cp:lastModifiedBy>
  <cp:revision>2</cp:revision>
  <cp:lastPrinted>2023-07-25T12:39:00Z</cp:lastPrinted>
  <dcterms:created xsi:type="dcterms:W3CDTF">2023-09-05T08:28:00Z</dcterms:created>
  <dcterms:modified xsi:type="dcterms:W3CDTF">2023-09-05T08:28:00Z</dcterms:modified>
</cp:coreProperties>
</file>