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40" w:rsidRPr="00EF1240" w:rsidRDefault="00EF1240" w:rsidP="00EF1240">
      <w:pPr>
        <w:spacing w:after="200" w:line="276" w:lineRule="auto"/>
        <w:jc w:val="both"/>
        <w:rPr>
          <w:rFonts w:eastAsia="Times New Roman" w:cs="Times New Roman"/>
          <w:sz w:val="26"/>
          <w:szCs w:val="26"/>
          <w:lang w:eastAsia="tr-TR"/>
        </w:rPr>
      </w:pPr>
      <w:r w:rsidRPr="00EF1240">
        <w:rPr>
          <w:rFonts w:eastAsia="Times New Roman" w:cs="Times New Roman"/>
          <w:sz w:val="26"/>
          <w:szCs w:val="26"/>
          <w:lang w:eastAsia="tr-TR"/>
        </w:rPr>
        <w:t>Kuzey Kıbrıs Türk Cumhuriyeti Cumhuriyet Meclisi’nin 9 Ekim 2023 tarihli Üçüncü Birleşiminde Oyçokluğuyla</w:t>
      </w:r>
      <w:r>
        <w:rPr>
          <w:rFonts w:eastAsia="Times New Roman" w:cs="Times New Roman"/>
          <w:sz w:val="26"/>
          <w:szCs w:val="26"/>
          <w:lang w:eastAsia="tr-TR"/>
        </w:rPr>
        <w:t xml:space="preserve"> (27 Oyla)</w:t>
      </w:r>
      <w:r w:rsidRPr="00EF1240">
        <w:rPr>
          <w:rFonts w:eastAsia="Times New Roman" w:cs="Times New Roman"/>
          <w:sz w:val="26"/>
          <w:szCs w:val="26"/>
          <w:lang w:eastAsia="tr-TR"/>
        </w:rPr>
        <w:t xml:space="preserve"> kabul olunan “Yayın Yüksek Kurulu 2023 Mali Yılı Bütçe Yasası” Anayasanın 94'üncü maddesinin (1)'inci fıkrası gereğince Kuzey Kıbrıs Türk Cumhuriyeti Cumhurbaşkanı tarafından Resmi Gazete'de yayımlanmak suretiyle ilan olunur.</w:t>
      </w:r>
    </w:p>
    <w:p w:rsidR="00F94294" w:rsidRDefault="00F94294" w:rsidP="003F32E0">
      <w:pPr>
        <w:spacing w:after="200" w:line="276" w:lineRule="auto"/>
        <w:jc w:val="both"/>
        <w:rPr>
          <w:rFonts w:eastAsia="Times New Roman" w:cs="Times New Roman"/>
          <w:sz w:val="26"/>
          <w:szCs w:val="26"/>
          <w:lang w:eastAsia="tr-TR"/>
        </w:rPr>
      </w:pPr>
    </w:p>
    <w:p w:rsidR="00EF1240" w:rsidRDefault="00EF1240" w:rsidP="00EF1240">
      <w:pPr>
        <w:spacing w:after="200" w:line="276" w:lineRule="auto"/>
        <w:jc w:val="center"/>
        <w:rPr>
          <w:rFonts w:eastAsia="Times New Roman" w:cs="Times New Roman"/>
          <w:sz w:val="26"/>
          <w:szCs w:val="26"/>
          <w:lang w:eastAsia="tr-TR"/>
        </w:rPr>
      </w:pPr>
      <w:r>
        <w:rPr>
          <w:rFonts w:eastAsia="Times New Roman" w:cs="Times New Roman"/>
          <w:sz w:val="26"/>
          <w:szCs w:val="26"/>
          <w:lang w:eastAsia="tr-TR"/>
        </w:rPr>
        <w:t xml:space="preserve">Sayı: </w:t>
      </w:r>
      <w:r w:rsidRPr="00EF1240">
        <w:rPr>
          <w:rFonts w:eastAsia="Times New Roman" w:cs="Times New Roman"/>
          <w:sz w:val="26"/>
          <w:szCs w:val="26"/>
          <w:lang w:eastAsia="tr-TR"/>
        </w:rPr>
        <w:t>52/2023</w:t>
      </w:r>
    </w:p>
    <w:p w:rsidR="00EF1240" w:rsidRDefault="00EF1240" w:rsidP="00EF1240">
      <w:pPr>
        <w:spacing w:after="200" w:line="276" w:lineRule="auto"/>
        <w:jc w:val="center"/>
        <w:rPr>
          <w:rFonts w:eastAsia="Times New Roman" w:cs="Times New Roman"/>
          <w:sz w:val="26"/>
          <w:szCs w:val="26"/>
          <w:lang w:eastAsia="tr-TR"/>
        </w:rPr>
      </w:pPr>
    </w:p>
    <w:tbl>
      <w:tblPr>
        <w:tblpPr w:leftFromText="141" w:rightFromText="141" w:vertAnchor="text" w:tblpX="-34" w:tblpY="1"/>
        <w:tblOverlap w:val="never"/>
        <w:tblW w:w="14737" w:type="dxa"/>
        <w:tblLayout w:type="fixed"/>
        <w:tblLook w:val="00A0" w:firstRow="1" w:lastRow="0" w:firstColumn="1" w:lastColumn="0" w:noHBand="0" w:noVBand="0"/>
      </w:tblPr>
      <w:tblGrid>
        <w:gridCol w:w="2235"/>
        <w:gridCol w:w="36"/>
        <w:gridCol w:w="247"/>
        <w:gridCol w:w="284"/>
        <w:gridCol w:w="567"/>
        <w:gridCol w:w="11368"/>
      </w:tblGrid>
      <w:tr w:rsidR="00F94294" w:rsidRPr="00F94294" w:rsidTr="00455C28">
        <w:trPr>
          <w:trHeight w:val="173"/>
        </w:trPr>
        <w:tc>
          <w:tcPr>
            <w:tcW w:w="14737" w:type="dxa"/>
            <w:gridSpan w:val="6"/>
          </w:tcPr>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 xml:space="preserve">YAYIN YÜKSEK KURULU   </w:t>
            </w:r>
          </w:p>
          <w:p w:rsidR="00F94294" w:rsidRPr="00F94294" w:rsidRDefault="00487520" w:rsidP="00F94294">
            <w:pPr>
              <w:jc w:val="center"/>
              <w:rPr>
                <w:rFonts w:eastAsia="Times New Roman" w:cs="Times New Roman"/>
                <w:bCs/>
                <w:sz w:val="24"/>
                <w:szCs w:val="24"/>
              </w:rPr>
            </w:pPr>
            <w:r>
              <w:rPr>
                <w:rFonts w:eastAsia="Times New Roman" w:cs="Times New Roman"/>
                <w:bCs/>
                <w:sz w:val="24"/>
                <w:szCs w:val="24"/>
              </w:rPr>
              <w:t>2023 MALİ YILI BÜTÇE YASASI</w:t>
            </w:r>
          </w:p>
          <w:p w:rsidR="00F94294" w:rsidRPr="00F94294" w:rsidRDefault="00F94294" w:rsidP="00F94294">
            <w:pPr>
              <w:rPr>
                <w:rFonts w:eastAsia="Times New Roman" w:cs="Times New Roman"/>
                <w:b/>
                <w:bCs/>
                <w:sz w:val="24"/>
                <w:szCs w:val="24"/>
              </w:rPr>
            </w:pPr>
          </w:p>
        </w:tc>
      </w:tr>
      <w:tr w:rsidR="00F94294" w:rsidRPr="00F94294" w:rsidTr="00455C28">
        <w:trPr>
          <w:trHeight w:val="173"/>
        </w:trPr>
        <w:tc>
          <w:tcPr>
            <w:tcW w:w="2235" w:type="dxa"/>
          </w:tcPr>
          <w:p w:rsidR="00F94294" w:rsidRPr="00F94294" w:rsidRDefault="00F94294" w:rsidP="00F94294">
            <w:pPr>
              <w:rPr>
                <w:rFonts w:eastAsia="Times New Roman" w:cs="Times New Roman"/>
                <w:b/>
                <w:bCs/>
                <w:sz w:val="24"/>
                <w:szCs w:val="24"/>
              </w:rPr>
            </w:pPr>
            <w:r w:rsidRPr="00F94294">
              <w:rPr>
                <w:rFonts w:eastAsia="Times New Roman" w:cs="Times New Roman"/>
                <w:sz w:val="24"/>
                <w:szCs w:val="24"/>
              </w:rPr>
              <w:t xml:space="preserve">                                      </w:t>
            </w:r>
          </w:p>
        </w:tc>
        <w:tc>
          <w:tcPr>
            <w:tcW w:w="12502" w:type="dxa"/>
            <w:gridSpan w:val="5"/>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Kuzey Kıbrıs Türk Cumhuriyeti Cumhuriyet Meclisi aşağıdaki Yasayı yapar:</w:t>
            </w:r>
          </w:p>
          <w:p w:rsidR="00F94294" w:rsidRPr="00F94294" w:rsidRDefault="00F94294" w:rsidP="00F94294">
            <w:pPr>
              <w:rPr>
                <w:rFonts w:eastAsia="Times New Roman" w:cs="Times New Roman"/>
                <w:sz w:val="24"/>
                <w:szCs w:val="24"/>
              </w:rPr>
            </w:pPr>
          </w:p>
        </w:tc>
      </w:tr>
      <w:tr w:rsidR="00F94294" w:rsidRPr="00F94294" w:rsidTr="00455C28">
        <w:trPr>
          <w:trHeight w:val="173"/>
        </w:trPr>
        <w:tc>
          <w:tcPr>
            <w:tcW w:w="2235"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Kısa İsim</w:t>
            </w:r>
          </w:p>
        </w:tc>
        <w:tc>
          <w:tcPr>
            <w:tcW w:w="12502" w:type="dxa"/>
            <w:gridSpan w:val="5"/>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 Bu Yasa, Yayın Yüksek Kurulu 2023 Mali Yılı Bütçe Yasası olarak isimlendirilir.</w:t>
            </w:r>
          </w:p>
        </w:tc>
      </w:tr>
      <w:tr w:rsidR="00F94294" w:rsidRPr="00F94294" w:rsidTr="00455C28">
        <w:trPr>
          <w:trHeight w:val="173"/>
        </w:trPr>
        <w:tc>
          <w:tcPr>
            <w:tcW w:w="14737" w:type="dxa"/>
            <w:gridSpan w:val="6"/>
          </w:tcPr>
          <w:p w:rsidR="00F94294" w:rsidRPr="00F94294" w:rsidRDefault="00F94294" w:rsidP="00F94294">
            <w:pPr>
              <w:jc w:val="both"/>
              <w:rPr>
                <w:rFonts w:eastAsia="Times New Roman" w:cs="Times New Roman"/>
                <w:sz w:val="24"/>
                <w:szCs w:val="24"/>
              </w:rPr>
            </w:pPr>
          </w:p>
        </w:tc>
      </w:tr>
      <w:tr w:rsidR="00F94294" w:rsidRPr="00F94294" w:rsidTr="00455C28">
        <w:trPr>
          <w:trHeight w:val="173"/>
        </w:trPr>
        <w:tc>
          <w:tcPr>
            <w:tcW w:w="14737" w:type="dxa"/>
            <w:gridSpan w:val="6"/>
          </w:tcPr>
          <w:p w:rsidR="00F94294" w:rsidRPr="00F94294" w:rsidRDefault="00F94294" w:rsidP="00F94294">
            <w:pPr>
              <w:jc w:val="center"/>
              <w:rPr>
                <w:rFonts w:eastAsia="Times New Roman" w:cs="Times New Roman"/>
                <w:bCs/>
                <w:sz w:val="24"/>
                <w:szCs w:val="24"/>
              </w:rPr>
            </w:pPr>
          </w:p>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BİRİNCİ KISIM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Genel Kurallar</w:t>
            </w:r>
          </w:p>
          <w:p w:rsidR="00F94294" w:rsidRPr="00F94294" w:rsidRDefault="00F94294" w:rsidP="00F94294">
            <w:pPr>
              <w:jc w:val="center"/>
              <w:rPr>
                <w:rFonts w:eastAsia="Times New Roman" w:cs="Times New Roman"/>
                <w:sz w:val="24"/>
                <w:szCs w:val="24"/>
              </w:rPr>
            </w:pPr>
          </w:p>
        </w:tc>
      </w:tr>
      <w:tr w:rsidR="00F94294" w:rsidRPr="00F94294" w:rsidTr="00455C28">
        <w:trPr>
          <w:trHeight w:val="173"/>
        </w:trPr>
        <w:tc>
          <w:tcPr>
            <w:tcW w:w="2235"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31 Aralık 2023</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Tarihinde Sona Erecek Olan Mali Yıl Hizmetleri İçin Tahsis Edilen Ödenek “A”, “C” ve “D” Cetvelleri</w:t>
            </w:r>
          </w:p>
        </w:tc>
        <w:tc>
          <w:tcPr>
            <w:tcW w:w="12502" w:type="dxa"/>
            <w:gridSpan w:val="5"/>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2. Yayın Yüksek Kurulunun, 1 Ocak 2023 tarihinde başlayan ve 31 Aralık 2023 tarihinde sona erecek olan 2023 Mali Yılında bu Yasaya Ek’li '‘A”, “C” ve “D” (Ödenekler, Kadrolar ve Araçlar) Cetvellerinde saptanan hizmet ve faaliyetlerin yürütülmesi için 5.954.000.00 TL (Beş Milyon, Dokuz Yüz Elli Dört Bin Türk Lirası) ödenek tahsis edilir.</w:t>
            </w:r>
          </w:p>
          <w:p w:rsidR="00F94294" w:rsidRPr="00F94294" w:rsidRDefault="00F94294" w:rsidP="00F94294">
            <w:pPr>
              <w:jc w:val="both"/>
              <w:rPr>
                <w:rFonts w:eastAsia="Times New Roman" w:cs="Times New Roman"/>
                <w:sz w:val="24"/>
                <w:szCs w:val="24"/>
              </w:rPr>
            </w:pPr>
          </w:p>
        </w:tc>
      </w:tr>
      <w:tr w:rsidR="00F94294" w:rsidRPr="00F94294" w:rsidTr="00455C28">
        <w:trPr>
          <w:trHeight w:val="173"/>
        </w:trPr>
        <w:tc>
          <w:tcPr>
            <w:tcW w:w="14737" w:type="dxa"/>
            <w:gridSpan w:val="6"/>
          </w:tcPr>
          <w:p w:rsidR="00F94294" w:rsidRPr="00F94294" w:rsidRDefault="00F94294" w:rsidP="00F94294">
            <w:pPr>
              <w:jc w:val="both"/>
              <w:rPr>
                <w:rFonts w:eastAsia="Times New Roman" w:cs="Times New Roman"/>
                <w:sz w:val="24"/>
                <w:szCs w:val="24"/>
              </w:rPr>
            </w:pPr>
          </w:p>
        </w:tc>
      </w:tr>
      <w:tr w:rsidR="00F94294" w:rsidRPr="00F94294" w:rsidTr="00455C28">
        <w:trPr>
          <w:trHeight w:val="570"/>
        </w:trPr>
        <w:tc>
          <w:tcPr>
            <w:tcW w:w="2271" w:type="dxa"/>
            <w:gridSpan w:val="2"/>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Bütçenin Finansmanı</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“B” Cetveli</w:t>
            </w:r>
          </w:p>
        </w:tc>
        <w:tc>
          <w:tcPr>
            <w:tcW w:w="12466"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3. Bütçenin f</w:t>
            </w:r>
            <w:r w:rsidR="008041FD">
              <w:rPr>
                <w:rFonts w:eastAsia="Times New Roman" w:cs="Times New Roman"/>
                <w:sz w:val="24"/>
                <w:szCs w:val="24"/>
              </w:rPr>
              <w:t>inansmanı için, bu Yasaya Ek</w:t>
            </w:r>
            <w:r w:rsidRPr="00F94294">
              <w:rPr>
                <w:rFonts w:eastAsia="Times New Roman" w:cs="Times New Roman"/>
                <w:sz w:val="24"/>
                <w:szCs w:val="24"/>
              </w:rPr>
              <w:t xml:space="preserve">’li “B” (Gelirler) Cetvelinde saptanan kaynaklardan 3.194.000.00 TL (Üç Milyon, Yüz Doksan Dört Bin Türk Lirası) özel yayın kuruluşlarından elde edilecek reklam ve hizmet gelirleri ve 2.760.000.00 TL (İki Milyon, Yedi Yüz Altmış Bin Türk Lirası) Devlet katkısı olmak üzere, toplam 5.954.000.00 TL (Beş Milyon, Dokuz Yüz Elli </w:t>
            </w:r>
            <w:r w:rsidRPr="00F94294">
              <w:rPr>
                <w:rFonts w:eastAsia="Times New Roman" w:cs="Times New Roman"/>
                <w:sz w:val="24"/>
                <w:szCs w:val="24"/>
              </w:rPr>
              <w:lastRenderedPageBreak/>
              <w:t>Dört Bin Türk Lirası ) gelir öngörülür.</w:t>
            </w:r>
          </w:p>
        </w:tc>
      </w:tr>
      <w:tr w:rsidR="00F94294" w:rsidRPr="00F94294" w:rsidTr="00455C28">
        <w:trPr>
          <w:trHeight w:val="281"/>
        </w:trPr>
        <w:tc>
          <w:tcPr>
            <w:tcW w:w="14737" w:type="dxa"/>
            <w:gridSpan w:val="6"/>
          </w:tcPr>
          <w:p w:rsidR="00F94294" w:rsidRPr="00F94294" w:rsidRDefault="00F94294" w:rsidP="00F94294">
            <w:pPr>
              <w:jc w:val="both"/>
              <w:rPr>
                <w:rFonts w:eastAsia="Times New Roman" w:cs="Times New Roman"/>
                <w:sz w:val="24"/>
                <w:szCs w:val="24"/>
              </w:rPr>
            </w:pP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Cetveller</w:t>
            </w:r>
          </w:p>
        </w:tc>
        <w:tc>
          <w:tcPr>
            <w:tcW w:w="12466"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4. Yayın Yüksek Kurulu 2023 Mali Yılı Bütçe Yasası aşağıdaki Cetvellerden oluşur: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247" w:type="dxa"/>
          </w:tcPr>
          <w:p w:rsidR="00F94294" w:rsidRPr="00F94294" w:rsidRDefault="00F94294" w:rsidP="00F94294">
            <w:pPr>
              <w:jc w:val="both"/>
              <w:rPr>
                <w:rFonts w:eastAsia="Times New Roman" w:cs="Times New Roman"/>
                <w:sz w:val="24"/>
                <w:szCs w:val="24"/>
              </w:rPr>
            </w:pPr>
          </w:p>
        </w:tc>
        <w:tc>
          <w:tcPr>
            <w:tcW w:w="12219" w:type="dxa"/>
            <w:gridSpan w:val="3"/>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“A” Cetveli .................... Ödenekler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247" w:type="dxa"/>
          </w:tcPr>
          <w:p w:rsidR="00F94294" w:rsidRPr="00F94294" w:rsidRDefault="00F94294" w:rsidP="00F94294">
            <w:pPr>
              <w:jc w:val="both"/>
              <w:rPr>
                <w:rFonts w:eastAsia="Times New Roman" w:cs="Times New Roman"/>
                <w:sz w:val="24"/>
                <w:szCs w:val="24"/>
              </w:rPr>
            </w:pPr>
          </w:p>
        </w:tc>
        <w:tc>
          <w:tcPr>
            <w:tcW w:w="12219" w:type="dxa"/>
            <w:gridSpan w:val="3"/>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“B” Cetveli .................... Gelirler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247" w:type="dxa"/>
          </w:tcPr>
          <w:p w:rsidR="00F94294" w:rsidRPr="00F94294" w:rsidRDefault="00F94294" w:rsidP="00F94294">
            <w:pPr>
              <w:jc w:val="both"/>
              <w:rPr>
                <w:rFonts w:eastAsia="Times New Roman" w:cs="Times New Roman"/>
                <w:sz w:val="24"/>
                <w:szCs w:val="24"/>
              </w:rPr>
            </w:pPr>
          </w:p>
        </w:tc>
        <w:tc>
          <w:tcPr>
            <w:tcW w:w="12219" w:type="dxa"/>
            <w:gridSpan w:val="3"/>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“C” Cetveli .................... Kadrolar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247" w:type="dxa"/>
          </w:tcPr>
          <w:p w:rsidR="00F94294" w:rsidRPr="00F94294" w:rsidRDefault="00F94294" w:rsidP="00F94294">
            <w:pPr>
              <w:jc w:val="both"/>
              <w:rPr>
                <w:rFonts w:eastAsia="Times New Roman" w:cs="Times New Roman"/>
                <w:sz w:val="24"/>
                <w:szCs w:val="24"/>
              </w:rPr>
            </w:pPr>
          </w:p>
        </w:tc>
        <w:tc>
          <w:tcPr>
            <w:tcW w:w="12219" w:type="dxa"/>
            <w:gridSpan w:val="3"/>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“D” Cetveli .................... Araçlar</w:t>
            </w:r>
          </w:p>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“E” Cetveli .................... Harcamaya İlişkin Formül (Eko-Rehber)</w:t>
            </w:r>
          </w:p>
        </w:tc>
      </w:tr>
      <w:tr w:rsidR="00F94294" w:rsidRPr="00F94294" w:rsidTr="00455C28">
        <w:trPr>
          <w:trHeight w:val="173"/>
        </w:trPr>
        <w:tc>
          <w:tcPr>
            <w:tcW w:w="14737" w:type="dxa"/>
            <w:gridSpan w:val="6"/>
          </w:tcPr>
          <w:p w:rsidR="00F94294" w:rsidRPr="00F94294" w:rsidRDefault="00F94294" w:rsidP="00F94294">
            <w:pPr>
              <w:jc w:val="both"/>
              <w:rPr>
                <w:rFonts w:eastAsia="Times New Roman" w:cs="Times New Roman"/>
                <w:sz w:val="24"/>
                <w:szCs w:val="24"/>
              </w:rPr>
            </w:pPr>
          </w:p>
          <w:p w:rsidR="00F94294" w:rsidRPr="00F94294" w:rsidRDefault="00F94294" w:rsidP="00F94294">
            <w:pPr>
              <w:jc w:val="both"/>
              <w:rPr>
                <w:rFonts w:eastAsia="Times New Roman" w:cs="Times New Roman"/>
                <w:sz w:val="24"/>
                <w:szCs w:val="24"/>
              </w:rPr>
            </w:pP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Analitik Bütçe </w:t>
            </w:r>
          </w:p>
        </w:tc>
        <w:tc>
          <w:tcPr>
            <w:tcW w:w="12466"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5. Yayın Yüksek Kurulunun 2023 Mali Yılı Analitik Bütçe Sınıflandırması aşağıdaki şekilde düzenlenmiştir: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Sınıflandırması</w:t>
            </w:r>
          </w:p>
        </w:tc>
        <w:tc>
          <w:tcPr>
            <w:tcW w:w="531" w:type="dxa"/>
            <w:gridSpan w:val="2"/>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w:t>
            </w:r>
          </w:p>
        </w:tc>
        <w:tc>
          <w:tcPr>
            <w:tcW w:w="11368"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Kurumsal Sınıflandırma: Birinci düzeyde Yayın Yüksek Kurulu yer almaktadır.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“E” Cetveli</w:t>
            </w:r>
          </w:p>
        </w:tc>
        <w:tc>
          <w:tcPr>
            <w:tcW w:w="531" w:type="dxa"/>
            <w:gridSpan w:val="2"/>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(2)</w:t>
            </w:r>
          </w:p>
        </w:tc>
        <w:tc>
          <w:tcPr>
            <w:tcW w:w="11368"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Fonksiyonel Sınıflandırma: Yayın Yüksek Kurulunun faaliyetlerinin işlevini göstermektedir.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531" w:type="dxa"/>
            <w:gridSpan w:val="2"/>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(3)</w:t>
            </w:r>
          </w:p>
        </w:tc>
        <w:tc>
          <w:tcPr>
            <w:tcW w:w="11368"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Finansal Sınıflandırma: Yapılan harcamaların hangi kaynaktan finanse edildiğini göstermektedir.</w:t>
            </w:r>
          </w:p>
        </w:tc>
      </w:tr>
      <w:tr w:rsidR="00F94294" w:rsidRPr="00F94294" w:rsidTr="00455C28">
        <w:trPr>
          <w:trHeight w:val="173"/>
        </w:trPr>
        <w:tc>
          <w:tcPr>
            <w:tcW w:w="2271" w:type="dxa"/>
            <w:gridSpan w:val="2"/>
          </w:tcPr>
          <w:p w:rsidR="00F94294" w:rsidRPr="00F94294" w:rsidRDefault="00F94294" w:rsidP="00F94294">
            <w:pPr>
              <w:rPr>
                <w:rFonts w:eastAsia="Times New Roman" w:cs="Times New Roman"/>
                <w:sz w:val="24"/>
                <w:szCs w:val="24"/>
              </w:rPr>
            </w:pPr>
          </w:p>
        </w:tc>
        <w:tc>
          <w:tcPr>
            <w:tcW w:w="531" w:type="dxa"/>
            <w:gridSpan w:val="2"/>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(4)</w:t>
            </w:r>
          </w:p>
        </w:tc>
        <w:tc>
          <w:tcPr>
            <w:tcW w:w="11368"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Ekonomik Sınıflandırma: Ödeneklerin ekonomik sınıflandırılmasını göstermektedir ve detaylı açıklamaları “E” Cetveli Eko-Rehber</w:t>
            </w:r>
            <w:r w:rsidR="008041FD">
              <w:rPr>
                <w:rFonts w:eastAsia="Times New Roman" w:cs="Times New Roman"/>
                <w:sz w:val="24"/>
                <w:szCs w:val="24"/>
              </w:rPr>
              <w:t>’</w:t>
            </w:r>
            <w:r w:rsidRPr="00F94294">
              <w:rPr>
                <w:rFonts w:eastAsia="Times New Roman" w:cs="Times New Roman"/>
                <w:sz w:val="24"/>
                <w:szCs w:val="24"/>
              </w:rPr>
              <w:t>de yer almaktadır.</w:t>
            </w:r>
          </w:p>
        </w:tc>
      </w:tr>
      <w:tr w:rsidR="00F94294" w:rsidRPr="00F94294" w:rsidTr="00455C28">
        <w:trPr>
          <w:trHeight w:val="173"/>
        </w:trPr>
        <w:tc>
          <w:tcPr>
            <w:tcW w:w="14737" w:type="dxa"/>
            <w:gridSpan w:val="6"/>
          </w:tcPr>
          <w:p w:rsidR="00F94294" w:rsidRPr="00F94294" w:rsidRDefault="00F94294" w:rsidP="00F94294">
            <w:pPr>
              <w:jc w:val="both"/>
              <w:rPr>
                <w:rFonts w:eastAsia="Times New Roman" w:cs="Times New Roman"/>
                <w:sz w:val="24"/>
                <w:szCs w:val="24"/>
              </w:rPr>
            </w:pPr>
          </w:p>
        </w:tc>
      </w:tr>
      <w:tr w:rsidR="00F94294" w:rsidRPr="00F94294" w:rsidTr="00455C28">
        <w:trPr>
          <w:trHeight w:val="173"/>
        </w:trPr>
        <w:tc>
          <w:tcPr>
            <w:tcW w:w="14737" w:type="dxa"/>
            <w:gridSpan w:val="6"/>
          </w:tcPr>
          <w:p w:rsidR="00F94294" w:rsidRPr="00F94294" w:rsidRDefault="00F94294" w:rsidP="00F94294">
            <w:pPr>
              <w:jc w:val="center"/>
              <w:rPr>
                <w:rFonts w:eastAsia="Times New Roman" w:cs="Times New Roman"/>
                <w:sz w:val="24"/>
                <w:szCs w:val="24"/>
              </w:rPr>
            </w:pP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İKİNCİ KISIM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Gelirler ve Cari Harcamalara İlişkin Uygulama ve Denetim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Kuralları ve Personel Rejimi</w:t>
            </w:r>
          </w:p>
          <w:p w:rsidR="00F94294" w:rsidRPr="00F94294" w:rsidRDefault="00F94294" w:rsidP="00F94294">
            <w:pPr>
              <w:jc w:val="center"/>
              <w:rPr>
                <w:rFonts w:eastAsia="Times New Roman" w:cs="Times New Roman"/>
                <w:sz w:val="24"/>
                <w:szCs w:val="24"/>
              </w:rPr>
            </w:pPr>
          </w:p>
        </w:tc>
      </w:tr>
    </w:tbl>
    <w:p w:rsidR="00F94294" w:rsidRPr="00F94294" w:rsidRDefault="00F94294" w:rsidP="00F94294">
      <w:pPr>
        <w:rPr>
          <w:rFonts w:eastAsia="Times New Roman" w:cs="Times New Roman"/>
          <w:vanish/>
          <w:sz w:val="24"/>
          <w:szCs w:val="24"/>
        </w:rPr>
      </w:pPr>
    </w:p>
    <w:tbl>
      <w:tblPr>
        <w:tblW w:w="14743" w:type="dxa"/>
        <w:tblInd w:w="-34" w:type="dxa"/>
        <w:tblLayout w:type="fixed"/>
        <w:tblLook w:val="00A0" w:firstRow="1" w:lastRow="0" w:firstColumn="1" w:lastColumn="0" w:noHBand="0" w:noVBand="0"/>
      </w:tblPr>
      <w:tblGrid>
        <w:gridCol w:w="2269"/>
        <w:gridCol w:w="567"/>
        <w:gridCol w:w="567"/>
        <w:gridCol w:w="567"/>
        <w:gridCol w:w="10773"/>
      </w:tblGrid>
      <w:tr w:rsidR="00F94294" w:rsidRPr="00F94294" w:rsidTr="00455C28">
        <w:tc>
          <w:tcPr>
            <w:tcW w:w="14743" w:type="dxa"/>
            <w:gridSpan w:val="5"/>
          </w:tcPr>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BİRİNCİ BÖLÜM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Gelirler ve Harcamalarda Usul</w:t>
            </w:r>
          </w:p>
          <w:p w:rsidR="00F94294" w:rsidRPr="00F94294" w:rsidRDefault="00F94294" w:rsidP="00F94294">
            <w:pPr>
              <w:jc w:val="center"/>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Bütçe Gelirleri</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6. Yayın Yüksek Kurulunca elde edilecek bütün gelirler ile Kuzey Kıbrıs Türk Cumhuriyeti ve diğer ülkeler veya uluslararası kuruluşlar tarafından yapılacak her türlü nakdi ve ayni yardımlar, Yayın Yüksek Kurulu 2023 Mali Yılı Bütçesine gelir olarak kaydedilir.</w:t>
            </w:r>
          </w:p>
        </w:tc>
      </w:tr>
      <w:tr w:rsidR="00F94294" w:rsidRPr="00F94294" w:rsidTr="00455C28">
        <w:tc>
          <w:tcPr>
            <w:tcW w:w="14743" w:type="dxa"/>
            <w:gridSpan w:val="5"/>
          </w:tcPr>
          <w:p w:rsidR="00F94294" w:rsidRPr="00F94294" w:rsidRDefault="00F94294" w:rsidP="00F94294">
            <w:pPr>
              <w:jc w:val="center"/>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Harcamalarda Usul</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7. Yayın Yüksek Kurulu harcamalarını, Devletin genel kuralları çerçevesinde ve Yayın Yüksek Kurulunun kararları aracılığı ile gerçekleştirir.</w:t>
            </w:r>
          </w:p>
        </w:tc>
      </w:tr>
      <w:tr w:rsidR="00F94294" w:rsidRPr="00F94294" w:rsidTr="00455C28">
        <w:tc>
          <w:tcPr>
            <w:tcW w:w="14743" w:type="dxa"/>
            <w:gridSpan w:val="5"/>
          </w:tcPr>
          <w:p w:rsidR="00F94294" w:rsidRPr="00F94294" w:rsidRDefault="00F94294" w:rsidP="00F94294">
            <w:pPr>
              <w:jc w:val="both"/>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Geçen Yıllar Borçlarına Ait Ödemeler</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8. 2022 Mali yılı sonuna kadar ödenmediği ve zaman aşımına uğramamış bulunan geçen yıllar borçlarına ait ödemeler borç konusu hizmetlerin yürütüldüğü ilgili ödeneklerden yapılır.</w:t>
            </w:r>
          </w:p>
        </w:tc>
      </w:tr>
      <w:tr w:rsidR="00F94294" w:rsidRPr="00F94294" w:rsidTr="00455C28">
        <w:tc>
          <w:tcPr>
            <w:tcW w:w="14743" w:type="dxa"/>
            <w:gridSpan w:val="5"/>
          </w:tcPr>
          <w:p w:rsidR="00F94294" w:rsidRDefault="00F94294" w:rsidP="00F94294">
            <w:pPr>
              <w:jc w:val="both"/>
              <w:rPr>
                <w:rFonts w:eastAsia="Times New Roman" w:cs="Times New Roman"/>
                <w:sz w:val="24"/>
                <w:szCs w:val="24"/>
              </w:rPr>
            </w:pPr>
          </w:p>
          <w:p w:rsidR="00487520" w:rsidRDefault="00487520" w:rsidP="00F94294">
            <w:pPr>
              <w:jc w:val="both"/>
              <w:rPr>
                <w:rFonts w:eastAsia="Times New Roman" w:cs="Times New Roman"/>
                <w:sz w:val="24"/>
                <w:szCs w:val="24"/>
              </w:rPr>
            </w:pPr>
          </w:p>
          <w:p w:rsidR="00487520" w:rsidRPr="00F94294" w:rsidRDefault="00487520" w:rsidP="00F94294">
            <w:pPr>
              <w:jc w:val="both"/>
              <w:rPr>
                <w:rFonts w:eastAsia="Times New Roman" w:cs="Times New Roman"/>
                <w:sz w:val="24"/>
                <w:szCs w:val="24"/>
              </w:rPr>
            </w:pPr>
            <w:bookmarkStart w:id="0" w:name="_GoBack"/>
            <w:bookmarkEnd w:id="0"/>
          </w:p>
        </w:tc>
      </w:tr>
      <w:tr w:rsidR="00F94294" w:rsidRPr="00F94294" w:rsidTr="00455C28">
        <w:tc>
          <w:tcPr>
            <w:tcW w:w="14743" w:type="dxa"/>
            <w:gridSpan w:val="5"/>
          </w:tcPr>
          <w:p w:rsidR="00F94294" w:rsidRPr="00F94294" w:rsidRDefault="00F94294" w:rsidP="00F94294">
            <w:pPr>
              <w:tabs>
                <w:tab w:val="left" w:pos="2728"/>
              </w:tabs>
              <w:jc w:val="center"/>
              <w:rPr>
                <w:rFonts w:eastAsia="Times New Roman" w:cs="Times New Roman"/>
                <w:bCs/>
                <w:sz w:val="24"/>
                <w:szCs w:val="24"/>
              </w:rPr>
            </w:pPr>
          </w:p>
          <w:p w:rsidR="00F94294" w:rsidRPr="00F94294" w:rsidRDefault="00F94294" w:rsidP="00F94294">
            <w:pPr>
              <w:tabs>
                <w:tab w:val="left" w:pos="2728"/>
              </w:tabs>
              <w:jc w:val="center"/>
              <w:rPr>
                <w:rFonts w:eastAsia="Times New Roman" w:cs="Times New Roman"/>
                <w:bCs/>
                <w:sz w:val="24"/>
                <w:szCs w:val="24"/>
              </w:rPr>
            </w:pPr>
            <w:r w:rsidRPr="00F94294">
              <w:rPr>
                <w:rFonts w:eastAsia="Times New Roman" w:cs="Times New Roman"/>
                <w:bCs/>
                <w:sz w:val="24"/>
                <w:szCs w:val="24"/>
              </w:rPr>
              <w:t>İKİNCİ BÖLÜM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Aktarmalar</w:t>
            </w:r>
          </w:p>
          <w:p w:rsidR="00F94294" w:rsidRPr="00F94294" w:rsidRDefault="00F94294" w:rsidP="00F94294">
            <w:pPr>
              <w:rPr>
                <w:rFonts w:eastAsia="Times New Roman" w:cs="Times New Roman"/>
                <w:sz w:val="24"/>
                <w:szCs w:val="24"/>
              </w:rPr>
            </w:pPr>
          </w:p>
        </w:tc>
      </w:tr>
      <w:tr w:rsidR="00F94294" w:rsidRPr="00F94294" w:rsidTr="00455C28">
        <w:tc>
          <w:tcPr>
            <w:tcW w:w="2269" w:type="dxa"/>
            <w:vMerge w:val="restart"/>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Aktarma Yöntem</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ve Kuralları</w:t>
            </w:r>
          </w:p>
        </w:tc>
        <w:tc>
          <w:tcPr>
            <w:tcW w:w="567"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9.</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(1)</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Aktarma önerileri, Yayın Yüksek Kurulu Başkanı tarafından yapılır.</w:t>
            </w:r>
          </w:p>
        </w:tc>
      </w:tr>
      <w:tr w:rsidR="00F94294" w:rsidRPr="00F94294" w:rsidTr="00455C28">
        <w:tc>
          <w:tcPr>
            <w:tcW w:w="2269" w:type="dxa"/>
            <w:vMerge/>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(2)</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Maddeler arası aktarmalar Yayın Yüksek Kurulunun onayına bağlıdır.</w:t>
            </w:r>
          </w:p>
        </w:tc>
      </w:tr>
      <w:tr w:rsidR="00F94294" w:rsidRPr="00F94294" w:rsidTr="00455C28">
        <w:tc>
          <w:tcPr>
            <w:tcW w:w="2269" w:type="dxa"/>
            <w:vMerge/>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(3)</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Aktarma suretiyle ödeneği azaltılan bir maddeye sonradan aktarma yapılamaz.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(4)</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Aktarma suretiyle ödeneği artırılan bir maddeden başka bir maddeye aktarma yapılamaz.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(5)</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Maaş, ücret ve diğer özlük hakları ödeneklerinden başka bir amaç için kullanılmak üzere aktarma yapılamaz.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(6)</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Yatırım proje ödeneklerinden cari nitelikli ödenek kalemlerine aktarma yapılamaz.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 xml:space="preserve">   </w:t>
            </w:r>
          </w:p>
        </w:tc>
        <w:tc>
          <w:tcPr>
            <w:tcW w:w="567" w:type="dxa"/>
          </w:tcPr>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(7)</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Elektrik Alımları ödeneğinden başka bir amaç için kullanılmak üzere aktarma yapılamaz.</w:t>
            </w:r>
          </w:p>
        </w:tc>
      </w:tr>
      <w:tr w:rsidR="00F94294" w:rsidRPr="00F94294" w:rsidTr="00455C28">
        <w:tc>
          <w:tcPr>
            <w:tcW w:w="14743" w:type="dxa"/>
            <w:gridSpan w:val="5"/>
          </w:tcPr>
          <w:p w:rsidR="00F94294" w:rsidRPr="00F94294" w:rsidRDefault="00F94294" w:rsidP="00F94294">
            <w:pPr>
              <w:jc w:val="both"/>
              <w:rPr>
                <w:rFonts w:eastAsia="Times New Roman" w:cs="Times New Roman"/>
                <w:sz w:val="24"/>
                <w:szCs w:val="24"/>
              </w:rPr>
            </w:pPr>
          </w:p>
        </w:tc>
      </w:tr>
      <w:tr w:rsidR="00F94294" w:rsidRPr="00F94294" w:rsidTr="00455C28">
        <w:tc>
          <w:tcPr>
            <w:tcW w:w="14743" w:type="dxa"/>
            <w:gridSpan w:val="5"/>
          </w:tcPr>
          <w:p w:rsidR="00F94294" w:rsidRPr="00F94294" w:rsidRDefault="00F94294" w:rsidP="00F94294">
            <w:pPr>
              <w:jc w:val="center"/>
              <w:rPr>
                <w:rFonts w:eastAsia="Times New Roman" w:cs="Times New Roman"/>
                <w:bCs/>
                <w:sz w:val="24"/>
                <w:szCs w:val="24"/>
              </w:rPr>
            </w:pPr>
          </w:p>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ÜÇÜNCÜ BÖLÜM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Bütçenin Uygulama ve Denetimine İlişkin Kurallar</w:t>
            </w:r>
          </w:p>
          <w:p w:rsidR="00F94294" w:rsidRPr="00F94294" w:rsidRDefault="00F94294" w:rsidP="00F94294">
            <w:pPr>
              <w:jc w:val="center"/>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İta Amiri</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10. Kurulun İta Amiri, Yayın Yüksek Kurulu Başkanıdır.</w:t>
            </w:r>
          </w:p>
        </w:tc>
      </w:tr>
      <w:tr w:rsidR="00F94294" w:rsidRPr="00F94294" w:rsidTr="00455C28">
        <w:tc>
          <w:tcPr>
            <w:tcW w:w="14743" w:type="dxa"/>
            <w:gridSpan w:val="5"/>
          </w:tcPr>
          <w:p w:rsidR="00F94294" w:rsidRPr="00F94294" w:rsidRDefault="00F94294" w:rsidP="00F94294">
            <w:pPr>
              <w:jc w:val="both"/>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Ek Ödenekte Temel İlke</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11. Bütçe tanzimi ve onayı sırasında mevcut olmayan veya t</w:t>
            </w:r>
            <w:r w:rsidR="008041FD">
              <w:rPr>
                <w:rFonts w:eastAsia="Times New Roman" w:cs="Times New Roman"/>
                <w:sz w:val="24"/>
                <w:szCs w:val="24"/>
              </w:rPr>
              <w:t>ahmin edilemeyen bir hizmetin, B</w:t>
            </w:r>
            <w:r w:rsidRPr="00F94294">
              <w:rPr>
                <w:rFonts w:eastAsia="Times New Roman" w:cs="Times New Roman"/>
                <w:sz w:val="24"/>
                <w:szCs w:val="24"/>
              </w:rPr>
              <w:t xml:space="preserve">ütçe yasallaştıktan sonra ortaya </w:t>
            </w:r>
            <w:r w:rsidR="008041FD">
              <w:rPr>
                <w:rFonts w:eastAsia="Times New Roman" w:cs="Times New Roman"/>
                <w:sz w:val="24"/>
                <w:szCs w:val="24"/>
              </w:rPr>
              <w:t>çıkması nedeniyle, B</w:t>
            </w:r>
            <w:r w:rsidRPr="00F94294">
              <w:rPr>
                <w:rFonts w:eastAsia="Times New Roman" w:cs="Times New Roman"/>
                <w:sz w:val="24"/>
                <w:szCs w:val="24"/>
              </w:rPr>
              <w:t>ütçeye ek ödenek eklenmesi Cumhuriyet Meclisinin onayı ile yapılır.</w:t>
            </w:r>
          </w:p>
        </w:tc>
      </w:tr>
      <w:tr w:rsidR="00F94294" w:rsidRPr="00F94294" w:rsidTr="00455C28">
        <w:tc>
          <w:tcPr>
            <w:tcW w:w="14743" w:type="dxa"/>
            <w:gridSpan w:val="5"/>
          </w:tcPr>
          <w:p w:rsidR="00F94294" w:rsidRPr="00F94294" w:rsidRDefault="00F94294" w:rsidP="00F94294">
            <w:pPr>
              <w:jc w:val="both"/>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Bütçenin Borçlandırılamaması</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12. Ek ödenek ve aktarma önerileri usulüne uygun şekilde kesinleşmedikçe, söz konusu öneriler harcamalara esas alınamaz ve Bütçe borçlandırılamaz.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12474" w:type="dxa"/>
            <w:gridSpan w:val="4"/>
          </w:tcPr>
          <w:p w:rsidR="00F94294" w:rsidRPr="00F94294" w:rsidRDefault="00F94294" w:rsidP="00F94294">
            <w:pPr>
              <w:jc w:val="both"/>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Kesin Hesap </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lastRenderedPageBreak/>
              <w:t xml:space="preserve">Yasa Tasarıları </w:t>
            </w: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lastRenderedPageBreak/>
              <w:t>13.</w:t>
            </w: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w:t>
            </w: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(A)</w:t>
            </w:r>
          </w:p>
        </w:tc>
        <w:tc>
          <w:tcPr>
            <w:tcW w:w="10773"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 xml:space="preserve">Bütçe Kesin Hesap Cetvel ve Raporları, mali yılın sona ermesinden başlayarak altı ay içinde Bakanlar </w:t>
            </w:r>
            <w:r w:rsidRPr="00F94294">
              <w:rPr>
                <w:rFonts w:eastAsia="Times New Roman" w:cs="Times New Roman"/>
                <w:sz w:val="24"/>
                <w:szCs w:val="24"/>
              </w:rPr>
              <w:lastRenderedPageBreak/>
              <w:t>Kuruluna sunulur.</w:t>
            </w: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lastRenderedPageBreak/>
              <w:t>ve Raporu</w:t>
            </w:r>
          </w:p>
        </w:tc>
        <w:tc>
          <w:tcPr>
            <w:tcW w:w="567" w:type="dxa"/>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(B)</w:t>
            </w:r>
          </w:p>
        </w:tc>
        <w:tc>
          <w:tcPr>
            <w:tcW w:w="10773"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Kesin Hesap Yasa Tasarıları ve Ek’li Hesap Cetvelleri, ilgili oldukları mali yılın sonundan başlayarak, en geç bir yıl içinde Bakanlar Kurulunca Cumhuriyet Meclisine sunulur. Sayıştay, genel uygunluk bildirimini, ilişkin olduğu Kesin Hesap Yasa Tasarısının verilmesinden başlayarak altı ay içinde Cumhuriyet Meclisine sunar.</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(2)</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 xml:space="preserve">Her mali yılın sonunda bütçe fazlalığı elde edilmesi durumunda, elde edilen bütçe fazlalığı, lisanslı yayın yapan yayıncı kuruluşlara alt yapı, teknik donanım, yayıncılığın geliştirilmesi ve eğitim desteği sağlamak amacıyla, Kurul tarafından hakkaniyetli biçimde kullanılır. </w:t>
            </w:r>
          </w:p>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 xml:space="preserve">         Ancak söz</w:t>
            </w:r>
            <w:r w:rsidR="008041FD">
              <w:rPr>
                <w:rFonts w:eastAsia="Times New Roman" w:cs="Times New Roman"/>
                <w:sz w:val="24"/>
                <w:szCs w:val="24"/>
              </w:rPr>
              <w:t xml:space="preserve"> </w:t>
            </w:r>
            <w:r w:rsidRPr="00F94294">
              <w:rPr>
                <w:rFonts w:eastAsia="Times New Roman" w:cs="Times New Roman"/>
                <w:sz w:val="24"/>
                <w:szCs w:val="24"/>
              </w:rPr>
              <w:t>konusu bütçe fazlalığı, Yayın Yüksek Kurulunun personel giderleri, sosyal güvenlik kurumuna devlet primi giderleri ve mal ve hizmet alımları altında öngörülen ödeneklerde kullanılmak üzere aktarma, Bütçeye gelir ve ödenek kaydı yapılamaz.</w:t>
            </w:r>
          </w:p>
          <w:p w:rsidR="00F94294" w:rsidRPr="00F94294" w:rsidRDefault="00F94294" w:rsidP="00F94294">
            <w:pPr>
              <w:jc w:val="both"/>
              <w:rPr>
                <w:rFonts w:eastAsia="Times New Roman" w:cs="Times New Roman"/>
                <w:sz w:val="24"/>
                <w:szCs w:val="24"/>
              </w:rPr>
            </w:pPr>
          </w:p>
          <w:p w:rsidR="00F94294" w:rsidRPr="00F94294" w:rsidRDefault="00F94294" w:rsidP="00F94294">
            <w:pPr>
              <w:jc w:val="both"/>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Uygulama ve Denetim </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39/1997</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34/2003</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36/2010</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42/2011</w:t>
            </w:r>
          </w:p>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    19/2022</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14. Bütçede öngörülen gelirin tarh, tahakkuk ve tahsili ile harcamaların yapılması ve denetimi, Kamu ve Özel Radyo ve Televizyonların Kuruluş ve Yayınları Yasası, yürürlükte bulunan ilgili mevzuat ve bu Yasa ile konan koşul ve kurallar çerçevesinde, Yayın Yüksek Kurulu Yönetim Kurulunun alacağı kararlara göre yürütülür.</w:t>
            </w:r>
          </w:p>
        </w:tc>
      </w:tr>
      <w:tr w:rsidR="00F94294" w:rsidRPr="00F94294" w:rsidTr="00455C28">
        <w:tc>
          <w:tcPr>
            <w:tcW w:w="2269" w:type="dxa"/>
          </w:tcPr>
          <w:p w:rsidR="00F94294" w:rsidRPr="00F94294" w:rsidRDefault="00F94294" w:rsidP="00F94294">
            <w:pPr>
              <w:rPr>
                <w:rFonts w:eastAsia="Times New Roman" w:cs="Times New Roman"/>
                <w:sz w:val="24"/>
                <w:szCs w:val="24"/>
              </w:rPr>
            </w:pPr>
          </w:p>
        </w:tc>
        <w:tc>
          <w:tcPr>
            <w:tcW w:w="12474" w:type="dxa"/>
            <w:gridSpan w:val="4"/>
          </w:tcPr>
          <w:p w:rsidR="00F94294" w:rsidRPr="00F94294" w:rsidRDefault="00F94294" w:rsidP="00F94294">
            <w:pPr>
              <w:jc w:val="both"/>
              <w:rPr>
                <w:rFonts w:eastAsia="Times New Roman" w:cs="Times New Roman"/>
                <w:sz w:val="24"/>
                <w:szCs w:val="24"/>
              </w:rPr>
            </w:pPr>
          </w:p>
        </w:tc>
      </w:tr>
      <w:tr w:rsidR="00F94294" w:rsidRPr="00F94294" w:rsidTr="00455C28">
        <w:tc>
          <w:tcPr>
            <w:tcW w:w="14743" w:type="dxa"/>
            <w:gridSpan w:val="5"/>
          </w:tcPr>
          <w:p w:rsidR="00F94294" w:rsidRPr="00F94294" w:rsidRDefault="00F94294" w:rsidP="00F94294">
            <w:pPr>
              <w:jc w:val="center"/>
              <w:rPr>
                <w:rFonts w:eastAsia="Times New Roman" w:cs="Times New Roman"/>
                <w:bCs/>
                <w:sz w:val="24"/>
                <w:szCs w:val="24"/>
              </w:rPr>
            </w:pPr>
          </w:p>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DÖRDÜNCÜ BÖLÜM</w:t>
            </w:r>
          </w:p>
          <w:p w:rsidR="00F94294" w:rsidRPr="00F94294" w:rsidRDefault="00F94294" w:rsidP="00F94294">
            <w:pPr>
              <w:jc w:val="center"/>
              <w:rPr>
                <w:rFonts w:eastAsia="Times New Roman" w:cs="Times New Roman"/>
                <w:sz w:val="24"/>
                <w:szCs w:val="24"/>
              </w:rPr>
            </w:pPr>
            <w:r w:rsidRPr="00F94294">
              <w:rPr>
                <w:rFonts w:eastAsia="Times New Roman" w:cs="Times New Roman"/>
                <w:sz w:val="24"/>
                <w:szCs w:val="24"/>
              </w:rPr>
              <w:t>Personel Rejimi</w:t>
            </w:r>
          </w:p>
          <w:p w:rsidR="00F94294" w:rsidRPr="00F94294" w:rsidRDefault="00F94294" w:rsidP="00F94294">
            <w:pPr>
              <w:jc w:val="center"/>
              <w:rPr>
                <w:rFonts w:eastAsia="Times New Roman" w:cs="Times New Roman"/>
                <w:sz w:val="24"/>
                <w:szCs w:val="24"/>
              </w:rPr>
            </w:pP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Yayın Yüksek </w:t>
            </w: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 xml:space="preserve">15. </w:t>
            </w: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Bütçede kadrosu ve ödeneği olmadan herhangi bir tayin, terfi ve barem ayarlaması yapılamaz.</w:t>
            </w:r>
          </w:p>
        </w:tc>
      </w:tr>
      <w:tr w:rsidR="00F94294" w:rsidRPr="00F94294" w:rsidTr="00455C28">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 xml:space="preserve">Kurulu Personelinin Atanması       </w:t>
            </w:r>
          </w:p>
        </w:tc>
        <w:tc>
          <w:tcPr>
            <w:tcW w:w="567" w:type="dxa"/>
          </w:tcPr>
          <w:p w:rsidR="00F94294" w:rsidRPr="00F94294" w:rsidRDefault="00F94294" w:rsidP="00F94294">
            <w:pPr>
              <w:jc w:val="both"/>
              <w:rPr>
                <w:rFonts w:eastAsia="Times New Roman" w:cs="Times New Roman"/>
                <w:sz w:val="24"/>
                <w:szCs w:val="24"/>
              </w:rPr>
            </w:pPr>
          </w:p>
        </w:tc>
        <w:tc>
          <w:tcPr>
            <w:tcW w:w="567" w:type="dxa"/>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(2)</w:t>
            </w:r>
          </w:p>
        </w:tc>
        <w:tc>
          <w:tcPr>
            <w:tcW w:w="11340" w:type="dxa"/>
            <w:gridSpan w:val="2"/>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Personelin istihdam koşulları, baremi ve sözleşme esasları Yayın Yüksek Kurulunca saptanır ve her yıl Kurul bütçesinde öngörülür. Her ne ad altında olursa olsun personel istihdamı öncesinde Maliye İ</w:t>
            </w:r>
            <w:r w:rsidR="008041FD">
              <w:rPr>
                <w:rFonts w:eastAsia="Times New Roman" w:cs="Times New Roman"/>
                <w:sz w:val="24"/>
                <w:szCs w:val="24"/>
              </w:rPr>
              <w:t>şleriyle</w:t>
            </w:r>
            <w:r w:rsidRPr="00F94294">
              <w:rPr>
                <w:rFonts w:eastAsia="Times New Roman" w:cs="Times New Roman"/>
                <w:sz w:val="24"/>
                <w:szCs w:val="24"/>
              </w:rPr>
              <w:t xml:space="preserve"> Görevli Bakanlıktan yetki talebinde bulunulması zorunludur.</w:t>
            </w:r>
          </w:p>
        </w:tc>
      </w:tr>
      <w:tr w:rsidR="00F94294" w:rsidRPr="00F94294" w:rsidTr="00455C28">
        <w:tc>
          <w:tcPr>
            <w:tcW w:w="14743" w:type="dxa"/>
            <w:gridSpan w:val="5"/>
          </w:tcPr>
          <w:p w:rsidR="00F94294" w:rsidRPr="00F94294" w:rsidRDefault="00F94294" w:rsidP="00F94294">
            <w:pPr>
              <w:jc w:val="center"/>
              <w:rPr>
                <w:rFonts w:eastAsia="Times New Roman" w:cs="Times New Roman"/>
                <w:sz w:val="24"/>
                <w:szCs w:val="24"/>
              </w:rPr>
            </w:pPr>
          </w:p>
        </w:tc>
      </w:tr>
      <w:tr w:rsidR="00F94294" w:rsidRPr="00F94294" w:rsidTr="00455C28">
        <w:tc>
          <w:tcPr>
            <w:tcW w:w="14743" w:type="dxa"/>
            <w:gridSpan w:val="5"/>
          </w:tcPr>
          <w:p w:rsidR="00F94294" w:rsidRPr="00F94294" w:rsidRDefault="00F94294" w:rsidP="00F94294">
            <w:pPr>
              <w:jc w:val="center"/>
              <w:rPr>
                <w:rFonts w:eastAsia="Times New Roman" w:cs="Times New Roman"/>
                <w:b/>
                <w:bCs/>
                <w:sz w:val="24"/>
                <w:szCs w:val="24"/>
              </w:rPr>
            </w:pPr>
          </w:p>
          <w:p w:rsidR="00F94294" w:rsidRPr="00F94294" w:rsidRDefault="00F94294" w:rsidP="00F94294">
            <w:pPr>
              <w:jc w:val="center"/>
              <w:rPr>
                <w:rFonts w:eastAsia="Times New Roman" w:cs="Times New Roman"/>
                <w:bCs/>
                <w:sz w:val="24"/>
                <w:szCs w:val="24"/>
              </w:rPr>
            </w:pPr>
            <w:r w:rsidRPr="00F94294">
              <w:rPr>
                <w:rFonts w:eastAsia="Times New Roman" w:cs="Times New Roman"/>
                <w:bCs/>
                <w:sz w:val="24"/>
                <w:szCs w:val="24"/>
              </w:rPr>
              <w:t>ÜÇÜNCÜ KISIM</w:t>
            </w:r>
          </w:p>
          <w:p w:rsidR="00F94294" w:rsidRPr="00F94294" w:rsidRDefault="00F94294" w:rsidP="00F94294">
            <w:pPr>
              <w:jc w:val="center"/>
              <w:rPr>
                <w:rFonts w:eastAsia="Times New Roman" w:cs="Times New Roman"/>
                <w:b/>
                <w:bCs/>
                <w:sz w:val="24"/>
                <w:szCs w:val="24"/>
              </w:rPr>
            </w:pPr>
            <w:r w:rsidRPr="00F94294">
              <w:rPr>
                <w:rFonts w:eastAsia="Times New Roman" w:cs="Times New Roman"/>
                <w:sz w:val="24"/>
                <w:szCs w:val="24"/>
              </w:rPr>
              <w:lastRenderedPageBreak/>
              <w:t>Son Kurallar</w:t>
            </w:r>
          </w:p>
          <w:p w:rsidR="00F94294" w:rsidRPr="00F94294" w:rsidRDefault="00F94294" w:rsidP="00F94294">
            <w:pPr>
              <w:jc w:val="center"/>
              <w:rPr>
                <w:rFonts w:eastAsia="Times New Roman" w:cs="Times New Roman"/>
                <w:sz w:val="24"/>
                <w:szCs w:val="24"/>
              </w:rPr>
            </w:pPr>
          </w:p>
        </w:tc>
      </w:tr>
      <w:tr w:rsidR="00F94294" w:rsidRPr="00F94294" w:rsidTr="00455C28">
        <w:trPr>
          <w:trHeight w:val="240"/>
        </w:trPr>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lastRenderedPageBreak/>
              <w:t>Yürütme Yetkisi</w:t>
            </w:r>
          </w:p>
        </w:tc>
        <w:tc>
          <w:tcPr>
            <w:tcW w:w="12474" w:type="dxa"/>
            <w:gridSpan w:val="4"/>
          </w:tcPr>
          <w:p w:rsidR="00F94294" w:rsidRPr="00F94294" w:rsidRDefault="00F94294" w:rsidP="00F94294">
            <w:pPr>
              <w:jc w:val="both"/>
              <w:rPr>
                <w:rFonts w:eastAsia="Times New Roman" w:cs="Times New Roman"/>
                <w:sz w:val="24"/>
                <w:szCs w:val="24"/>
              </w:rPr>
            </w:pPr>
            <w:r w:rsidRPr="00F94294">
              <w:rPr>
                <w:rFonts w:eastAsia="Times New Roman" w:cs="Times New Roman"/>
                <w:sz w:val="24"/>
                <w:szCs w:val="24"/>
              </w:rPr>
              <w:t>16. Bu Yasayı, Başbakan adına Yayın Yüksek Kurulu yürütür.</w:t>
            </w:r>
          </w:p>
        </w:tc>
      </w:tr>
      <w:tr w:rsidR="00F94294" w:rsidRPr="00F94294" w:rsidTr="00455C28">
        <w:trPr>
          <w:trHeight w:val="240"/>
        </w:trPr>
        <w:tc>
          <w:tcPr>
            <w:tcW w:w="14743" w:type="dxa"/>
            <w:gridSpan w:val="5"/>
          </w:tcPr>
          <w:p w:rsidR="00F94294" w:rsidRPr="00F94294" w:rsidRDefault="00F94294" w:rsidP="00F94294">
            <w:pPr>
              <w:jc w:val="both"/>
              <w:rPr>
                <w:rFonts w:eastAsia="Times New Roman" w:cs="Times New Roman"/>
                <w:sz w:val="24"/>
                <w:szCs w:val="24"/>
              </w:rPr>
            </w:pPr>
          </w:p>
        </w:tc>
      </w:tr>
      <w:tr w:rsidR="00F94294" w:rsidRPr="00F94294" w:rsidTr="008728C1">
        <w:trPr>
          <w:trHeight w:val="312"/>
        </w:trPr>
        <w:tc>
          <w:tcPr>
            <w:tcW w:w="2269" w:type="dxa"/>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Yürürlüğe Giriş</w:t>
            </w:r>
          </w:p>
        </w:tc>
        <w:tc>
          <w:tcPr>
            <w:tcW w:w="12474" w:type="dxa"/>
            <w:gridSpan w:val="4"/>
          </w:tcPr>
          <w:p w:rsidR="00F94294" w:rsidRPr="00F94294" w:rsidRDefault="00F94294" w:rsidP="00F94294">
            <w:pPr>
              <w:rPr>
                <w:rFonts w:eastAsia="Times New Roman" w:cs="Times New Roman"/>
                <w:sz w:val="24"/>
                <w:szCs w:val="24"/>
              </w:rPr>
            </w:pPr>
            <w:r w:rsidRPr="00F94294">
              <w:rPr>
                <w:rFonts w:eastAsia="Times New Roman" w:cs="Times New Roman"/>
                <w:sz w:val="24"/>
                <w:szCs w:val="24"/>
              </w:rPr>
              <w:t>17. Bu Yasa, 1 Ocak 2023 tarihinden başlayarak yürürlüğe girer.</w:t>
            </w:r>
          </w:p>
          <w:p w:rsidR="00F94294" w:rsidRPr="00F94294" w:rsidRDefault="00F94294" w:rsidP="00F94294">
            <w:pPr>
              <w:rPr>
                <w:rFonts w:eastAsia="Times New Roman" w:cs="Times New Roman"/>
                <w:sz w:val="24"/>
                <w:szCs w:val="24"/>
              </w:rPr>
            </w:pPr>
          </w:p>
        </w:tc>
      </w:tr>
    </w:tbl>
    <w:p w:rsidR="00F94294" w:rsidRPr="00F94294" w:rsidRDefault="00F94294" w:rsidP="00F94294">
      <w:pPr>
        <w:rPr>
          <w:rFonts w:eastAsia="Times New Roman" w:cs="Times New Roman"/>
          <w:sz w:val="24"/>
          <w:szCs w:val="24"/>
        </w:rPr>
      </w:pPr>
      <w:r w:rsidRPr="00F94294">
        <w:rPr>
          <w:rFonts w:eastAsia="Times New Roman" w:cs="Times New Roman"/>
          <w:sz w:val="24"/>
          <w:szCs w:val="24"/>
        </w:rPr>
        <w:tab/>
      </w:r>
    </w:p>
    <w:p w:rsidR="00F94294" w:rsidRPr="002501EE" w:rsidRDefault="00F94294" w:rsidP="003F32E0">
      <w:pPr>
        <w:spacing w:after="200" w:line="276" w:lineRule="auto"/>
        <w:jc w:val="both"/>
        <w:rPr>
          <w:rFonts w:eastAsia="Times New Roman" w:cs="Times New Roman"/>
          <w:sz w:val="26"/>
          <w:szCs w:val="26"/>
          <w:lang w:eastAsia="tr-TR"/>
        </w:rPr>
      </w:pPr>
    </w:p>
    <w:sectPr w:rsidR="00F94294" w:rsidRPr="002501EE" w:rsidSect="002501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EE"/>
    <w:rsid w:val="002501EE"/>
    <w:rsid w:val="003C7388"/>
    <w:rsid w:val="003F32E0"/>
    <w:rsid w:val="00487520"/>
    <w:rsid w:val="00584929"/>
    <w:rsid w:val="006825AE"/>
    <w:rsid w:val="008041FD"/>
    <w:rsid w:val="008728C1"/>
    <w:rsid w:val="009C06E7"/>
    <w:rsid w:val="00C15B25"/>
    <w:rsid w:val="00E03C1F"/>
    <w:rsid w:val="00EF1240"/>
    <w:rsid w:val="00F94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EE"/>
    <w:pPr>
      <w:spacing w:after="0" w:line="240" w:lineRule="auto"/>
    </w:pPr>
    <w:rPr>
      <w:rFonts w:ascii="Times New Roman" w:hAnsi="Times New Roman"/>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EE"/>
    <w:pPr>
      <w:spacing w:after="0" w:line="240" w:lineRule="auto"/>
    </w:pPr>
    <w:rPr>
      <w:rFonts w:ascii="Times New Roman" w:hAnsi="Times New Roman"/>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FD03-0FD5-4FD5-97C9-4923061D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Alara Ataç</dc:creator>
  <cp:lastModifiedBy>Alara Ataç</cp:lastModifiedBy>
  <cp:revision>2</cp:revision>
  <cp:lastPrinted>2023-06-02T13:34:00Z</cp:lastPrinted>
  <dcterms:created xsi:type="dcterms:W3CDTF">2023-10-23T07:48:00Z</dcterms:created>
  <dcterms:modified xsi:type="dcterms:W3CDTF">2023-10-23T07:48:00Z</dcterms:modified>
</cp:coreProperties>
</file>