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05CE6" w14:textId="5C54275F" w:rsidR="00653B4B" w:rsidRPr="00653B4B" w:rsidRDefault="00F42A29" w:rsidP="00653B4B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A29">
        <w:rPr>
          <w:rFonts w:ascii="Times New Roman" w:hAnsi="Times New Roman" w:cs="Times New Roman"/>
          <w:sz w:val="24"/>
          <w:szCs w:val="24"/>
        </w:rPr>
        <w:t xml:space="preserve"> </w:t>
      </w:r>
      <w:r w:rsidR="00653B4B" w:rsidRPr="00653B4B">
        <w:rPr>
          <w:rFonts w:ascii="Times New Roman" w:eastAsia="Times New Roman" w:hAnsi="Times New Roman" w:cs="Times New Roman"/>
          <w:sz w:val="24"/>
          <w:szCs w:val="24"/>
        </w:rPr>
        <w:t>Kuzey Kıbrıs Türk Cumhuriyeti Cumhuriyet Meclisi’nin 6 Kasım 2023 tarihli Onuncu Birleşiminde Oybirliğiyle kabul olunan “</w:t>
      </w:r>
      <w:r w:rsidR="00653B4B" w:rsidRPr="00653B4B">
        <w:rPr>
          <w:rFonts w:ascii="Times New Roman" w:eastAsia="SimSun" w:hAnsi="Times New Roman" w:cs="Times New Roman"/>
          <w:sz w:val="24"/>
          <w:szCs w:val="24"/>
          <w:lang w:eastAsia="zh-CN"/>
        </w:rPr>
        <w:t>Belediyelerin Birleştirilmesine İlişkin (Özel) (Değişiklik No:2) Yasa</w:t>
      </w:r>
      <w:r w:rsidR="00653B4B" w:rsidRPr="00653B4B">
        <w:rPr>
          <w:rFonts w:ascii="Times New Roman" w:eastAsia="Times New Roman" w:hAnsi="Times New Roman" w:cs="Times New Roman"/>
          <w:sz w:val="24"/>
          <w:szCs w:val="24"/>
        </w:rPr>
        <w:t>” Anayasanın 94'üncü maddesinin (1)'inci fıkrası gereğince Kuzey Kıbrıs Türk Cumhuriyeti Cumhurbaşkanı tarafından Resmi Gazete'de yayımlanmak suretiyle ilan olunur.</w:t>
      </w:r>
      <w:r w:rsidR="00653B4B" w:rsidRPr="00653B4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6189ED3" w14:textId="77777777" w:rsidR="00653B4B" w:rsidRPr="00653B4B" w:rsidRDefault="00653B4B" w:rsidP="00653B4B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1D220" w14:textId="77777777" w:rsidR="00653B4B" w:rsidRPr="00653B4B" w:rsidRDefault="00653B4B" w:rsidP="00653B4B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B8EC79" w14:textId="1A0BCB00" w:rsidR="00F42A29" w:rsidRPr="00653B4B" w:rsidRDefault="00653B4B" w:rsidP="00653B4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Sayı: 68</w:t>
      </w:r>
      <w:r w:rsidRPr="00653B4B">
        <w:rPr>
          <w:rFonts w:ascii="Times New Roman" w:eastAsia="Times New Roman" w:hAnsi="Times New Roman" w:cs="Times New Roman"/>
          <w:sz w:val="24"/>
          <w:szCs w:val="24"/>
        </w:rPr>
        <w:t>/2023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60"/>
        <w:gridCol w:w="1710"/>
        <w:gridCol w:w="450"/>
        <w:gridCol w:w="540"/>
        <w:gridCol w:w="90"/>
        <w:gridCol w:w="540"/>
        <w:gridCol w:w="90"/>
        <w:gridCol w:w="502"/>
        <w:gridCol w:w="3368"/>
      </w:tblGrid>
      <w:tr w:rsidR="00FB29AD" w:rsidRPr="00FB29AD" w14:paraId="704B26FF" w14:textId="77777777" w:rsidTr="00FB29AD">
        <w:tc>
          <w:tcPr>
            <w:tcW w:w="9288" w:type="dxa"/>
            <w:gridSpan w:val="10"/>
            <w:hideMark/>
          </w:tcPr>
          <w:p w14:paraId="1100798C" w14:textId="36834E93" w:rsidR="00FB29AD" w:rsidRPr="00FB29AD" w:rsidRDefault="00F42A29" w:rsidP="00FB2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42A2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FB29AD" w:rsidRPr="00FB29AD">
              <w:rPr>
                <w:rFonts w:ascii="Times New Roman" w:eastAsia="Calibri" w:hAnsi="Times New Roman"/>
                <w:sz w:val="24"/>
                <w:szCs w:val="24"/>
              </w:rPr>
              <w:t xml:space="preserve">BELEDİYELERİN BİRLEŞTİRİLMESİNE İLİŞKİN (ÖZEL) </w:t>
            </w:r>
          </w:p>
          <w:p w14:paraId="5A43A62E" w14:textId="5D32C28C" w:rsidR="00FB29AD" w:rsidRPr="00FB29AD" w:rsidRDefault="00FB29AD" w:rsidP="00FB2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B29AD">
              <w:rPr>
                <w:rFonts w:ascii="Times New Roman" w:eastAsia="Calibri" w:hAnsi="Times New Roman"/>
                <w:sz w:val="24"/>
                <w:szCs w:val="24"/>
              </w:rPr>
              <w:t>(DEĞİŞİKLİK</w:t>
            </w:r>
            <w:r w:rsidR="008C62E8">
              <w:rPr>
                <w:rFonts w:ascii="Times New Roman" w:eastAsia="Calibri" w:hAnsi="Times New Roman"/>
                <w:sz w:val="24"/>
                <w:szCs w:val="24"/>
              </w:rPr>
              <w:t xml:space="preserve"> NO:2</w:t>
            </w:r>
            <w:r w:rsidRPr="00FB29AD">
              <w:rPr>
                <w:rFonts w:ascii="Times New Roman" w:eastAsia="Calibri" w:hAnsi="Times New Roman"/>
                <w:sz w:val="24"/>
                <w:szCs w:val="24"/>
              </w:rPr>
              <w:t>) YASA</w:t>
            </w:r>
          </w:p>
        </w:tc>
      </w:tr>
      <w:tr w:rsidR="00FB29AD" w:rsidRPr="00FB29AD" w14:paraId="21D5ABF6" w14:textId="77777777" w:rsidTr="00FB29AD">
        <w:tc>
          <w:tcPr>
            <w:tcW w:w="9288" w:type="dxa"/>
            <w:gridSpan w:val="10"/>
          </w:tcPr>
          <w:p w14:paraId="29E719CE" w14:textId="77777777" w:rsidR="00FB29AD" w:rsidRPr="00FB29AD" w:rsidRDefault="00FB29AD" w:rsidP="00FB2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29AD" w:rsidRPr="00FB29AD" w14:paraId="5D7B6CBC" w14:textId="77777777" w:rsidTr="00FB29AD">
        <w:tc>
          <w:tcPr>
            <w:tcW w:w="1638" w:type="dxa"/>
          </w:tcPr>
          <w:p w14:paraId="1D32B1B8" w14:textId="77777777" w:rsidR="00FB29AD" w:rsidRPr="00FB29AD" w:rsidRDefault="00FB29AD" w:rsidP="00FB2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9"/>
            <w:hideMark/>
          </w:tcPr>
          <w:p w14:paraId="3CD89FE8" w14:textId="77777777" w:rsidR="00FB29AD" w:rsidRPr="00FB29AD" w:rsidRDefault="00FB29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29AD">
              <w:rPr>
                <w:rFonts w:ascii="Times New Roman" w:eastAsia="Calibri" w:hAnsi="Times New Roman"/>
                <w:sz w:val="24"/>
                <w:szCs w:val="24"/>
              </w:rPr>
              <w:t xml:space="preserve">        Kuzey Kıbrıs Türk Cumhuriyeti Cumhuriyet Meclisi aşağıdaki Yasayı yapar:</w:t>
            </w:r>
          </w:p>
        </w:tc>
      </w:tr>
      <w:tr w:rsidR="00FB29AD" w:rsidRPr="00FB29AD" w14:paraId="0D37E8A3" w14:textId="77777777" w:rsidTr="00FB29AD">
        <w:tc>
          <w:tcPr>
            <w:tcW w:w="1638" w:type="dxa"/>
          </w:tcPr>
          <w:p w14:paraId="63073FE3" w14:textId="77777777" w:rsidR="00FB29AD" w:rsidRPr="00FB29AD" w:rsidRDefault="00FB29AD" w:rsidP="00FB29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9"/>
          </w:tcPr>
          <w:p w14:paraId="282ACE45" w14:textId="77777777" w:rsidR="00FB29AD" w:rsidRPr="00FB29AD" w:rsidRDefault="00FB29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29AD" w:rsidRPr="00FB29AD" w14:paraId="11056908" w14:textId="77777777" w:rsidTr="00FB29AD">
        <w:tc>
          <w:tcPr>
            <w:tcW w:w="1638" w:type="dxa"/>
            <w:hideMark/>
          </w:tcPr>
          <w:p w14:paraId="34E47834" w14:textId="77777777" w:rsidR="00FB29AD" w:rsidRP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29AD">
              <w:rPr>
                <w:rFonts w:ascii="Times New Roman" w:eastAsia="Calibri" w:hAnsi="Times New Roman"/>
                <w:sz w:val="24"/>
                <w:szCs w:val="24"/>
              </w:rPr>
              <w:t>Kısa İsim</w:t>
            </w:r>
          </w:p>
          <w:p w14:paraId="21666333" w14:textId="77777777" w:rsid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29AD">
              <w:rPr>
                <w:rFonts w:ascii="Times New Roman" w:eastAsia="Calibri" w:hAnsi="Times New Roman"/>
                <w:sz w:val="24"/>
                <w:szCs w:val="24"/>
              </w:rPr>
              <w:t>15/2022</w:t>
            </w:r>
          </w:p>
          <w:p w14:paraId="08F08EFA" w14:textId="77777777" w:rsid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28/2022</w:t>
            </w:r>
          </w:p>
          <w:p w14:paraId="3BE42534" w14:textId="35BA6BB9" w:rsidR="008C62E8" w:rsidRPr="00FB29AD" w:rsidRDefault="008C62E8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18/2023</w:t>
            </w:r>
          </w:p>
        </w:tc>
        <w:tc>
          <w:tcPr>
            <w:tcW w:w="7650" w:type="dxa"/>
            <w:gridSpan w:val="9"/>
            <w:hideMark/>
          </w:tcPr>
          <w:p w14:paraId="3A740C37" w14:textId="7CC76813" w:rsidR="00FB29AD" w:rsidRPr="00FB29AD" w:rsidRDefault="00FB29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29AD">
              <w:rPr>
                <w:rFonts w:ascii="Times New Roman" w:eastAsia="Calibri" w:hAnsi="Times New Roman"/>
                <w:sz w:val="24"/>
                <w:szCs w:val="24"/>
              </w:rPr>
              <w:t>1. Bu Yasa, Belediyelerin Birleştirilmesine İlişkin (Özel) (Değişiklik</w:t>
            </w:r>
            <w:r w:rsidR="008C62E8">
              <w:rPr>
                <w:rFonts w:ascii="Times New Roman" w:eastAsia="Calibri" w:hAnsi="Times New Roman"/>
                <w:sz w:val="24"/>
                <w:szCs w:val="24"/>
              </w:rPr>
              <w:t xml:space="preserve"> No:2</w:t>
            </w:r>
            <w:r w:rsidRPr="00FB29AD">
              <w:rPr>
                <w:rFonts w:ascii="Times New Roman" w:eastAsia="Calibri" w:hAnsi="Times New Roman"/>
                <w:sz w:val="24"/>
                <w:szCs w:val="24"/>
              </w:rPr>
              <w:t>) Yasası olarak isimlendirilir ve aşağıda “Esas Yasa” olarak anılan Belediyelerin Birleştirilmesine İlişkin (Özel) Yasa ile birlikte okunur.</w:t>
            </w:r>
          </w:p>
        </w:tc>
      </w:tr>
      <w:tr w:rsidR="00FB29AD" w:rsidRPr="00FB29AD" w14:paraId="60ED7180" w14:textId="77777777" w:rsidTr="00FB29AD">
        <w:tc>
          <w:tcPr>
            <w:tcW w:w="1638" w:type="dxa"/>
          </w:tcPr>
          <w:p w14:paraId="179B2396" w14:textId="77777777" w:rsidR="00FB29AD" w:rsidRP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9"/>
          </w:tcPr>
          <w:p w14:paraId="35B0F681" w14:textId="77777777" w:rsidR="00FB29AD" w:rsidRP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29AD" w:rsidRPr="00FB29AD" w14:paraId="404F36C8" w14:textId="77777777" w:rsidTr="00FB29AD">
        <w:tc>
          <w:tcPr>
            <w:tcW w:w="1638" w:type="dxa"/>
            <w:hideMark/>
          </w:tcPr>
          <w:p w14:paraId="71ACC3E3" w14:textId="7343AB6F" w:rsidR="00FB29AD" w:rsidRPr="00FB29AD" w:rsidRDefault="00FB29AD" w:rsidP="00703E2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29AD">
              <w:rPr>
                <w:rFonts w:ascii="Times New Roman" w:eastAsia="Calibri" w:hAnsi="Times New Roman"/>
                <w:sz w:val="24"/>
                <w:szCs w:val="24"/>
              </w:rPr>
              <w:t>Esas Yasa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ya Yeni </w:t>
            </w:r>
          </w:p>
        </w:tc>
        <w:tc>
          <w:tcPr>
            <w:tcW w:w="7650" w:type="dxa"/>
            <w:gridSpan w:val="9"/>
            <w:hideMark/>
          </w:tcPr>
          <w:p w14:paraId="0BE3E184" w14:textId="75B0690D" w:rsidR="00FB29AD" w:rsidRPr="00FB29AD" w:rsidRDefault="00FB29AD" w:rsidP="008C62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B29AD">
              <w:rPr>
                <w:rFonts w:ascii="Times New Roman" w:eastAsia="Calibri" w:hAnsi="Times New Roman"/>
                <w:sz w:val="24"/>
                <w:szCs w:val="24"/>
              </w:rPr>
              <w:t>2. Esas Yasa, Geçici 7’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nci Maddesinden hemen sonra aşağıdaki </w:t>
            </w:r>
            <w:r w:rsidRPr="00FB29AD">
              <w:rPr>
                <w:rFonts w:ascii="Times New Roman" w:eastAsia="Calibri" w:hAnsi="Times New Roman"/>
                <w:sz w:val="24"/>
                <w:szCs w:val="24"/>
              </w:rPr>
              <w:t xml:space="preserve"> yeni Geçici 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’inci Madde eklenmek sure</w:t>
            </w:r>
            <w:r w:rsidRPr="00FB29AD">
              <w:rPr>
                <w:rFonts w:ascii="Times New Roman" w:eastAsia="Calibri" w:hAnsi="Times New Roman"/>
                <w:sz w:val="24"/>
                <w:szCs w:val="24"/>
              </w:rPr>
              <w:t>tiyle değiştirilir:</w:t>
            </w:r>
          </w:p>
        </w:tc>
      </w:tr>
      <w:tr w:rsidR="00FB29AD" w:rsidRPr="00FB29AD" w14:paraId="5DEA6149" w14:textId="77777777" w:rsidTr="00FB29AD">
        <w:tc>
          <w:tcPr>
            <w:tcW w:w="1638" w:type="dxa"/>
            <w:hideMark/>
          </w:tcPr>
          <w:p w14:paraId="39F5687B" w14:textId="1AC3FE7E" w:rsidR="00FB29AD" w:rsidRPr="00FB29AD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3E25">
              <w:rPr>
                <w:rFonts w:ascii="Times New Roman" w:eastAsia="Calibri" w:hAnsi="Times New Roman"/>
                <w:sz w:val="24"/>
                <w:szCs w:val="24"/>
              </w:rPr>
              <w:t>Geçici 8’inci</w:t>
            </w:r>
          </w:p>
        </w:tc>
        <w:tc>
          <w:tcPr>
            <w:tcW w:w="7650" w:type="dxa"/>
            <w:gridSpan w:val="9"/>
          </w:tcPr>
          <w:p w14:paraId="16B5F7A6" w14:textId="77777777" w:rsidR="00FB29AD" w:rsidRPr="00FB29AD" w:rsidRDefault="00FB29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29AD" w:rsidRPr="00FB29AD" w14:paraId="51DA7EDD" w14:textId="77777777" w:rsidTr="00FB29AD">
        <w:tc>
          <w:tcPr>
            <w:tcW w:w="1638" w:type="dxa"/>
          </w:tcPr>
          <w:p w14:paraId="53A382CC" w14:textId="269127A0" w:rsidR="00703E25" w:rsidRDefault="008C62E8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Madde</w:t>
            </w:r>
            <w:r w:rsidR="00703E25" w:rsidRPr="00703E25">
              <w:rPr>
                <w:rFonts w:ascii="Times New Roman" w:eastAsia="Calibri" w:hAnsi="Times New Roman"/>
                <w:sz w:val="24"/>
                <w:szCs w:val="24"/>
              </w:rPr>
              <w:t>nin</w:t>
            </w:r>
          </w:p>
          <w:p w14:paraId="6D8093D5" w14:textId="77777777" w:rsidR="00FB29AD" w:rsidRP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29AD">
              <w:rPr>
                <w:rFonts w:ascii="Times New Roman" w:eastAsia="Calibri" w:hAnsi="Times New Roman"/>
                <w:sz w:val="24"/>
                <w:szCs w:val="24"/>
              </w:rPr>
              <w:t>Eklenmesi</w:t>
            </w:r>
          </w:p>
          <w:p w14:paraId="0AF4DC7E" w14:textId="77777777" w:rsid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EBB7A47" w14:textId="77777777" w:rsidR="00FB29AD" w:rsidRP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47E0F1" w14:textId="77777777" w:rsid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29AD">
              <w:rPr>
                <w:rFonts w:ascii="Times New Roman" w:eastAsia="Calibri" w:hAnsi="Times New Roman"/>
                <w:sz w:val="24"/>
                <w:szCs w:val="24"/>
              </w:rPr>
              <w:t>“Geçici Madde</w:t>
            </w:r>
          </w:p>
          <w:p w14:paraId="75966D84" w14:textId="77777777" w:rsidR="009C610A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Nakiller</w:t>
            </w:r>
            <w:r w:rsidR="009C610A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14:paraId="59FFC759" w14:textId="3AE644D3" w:rsidR="00703E25" w:rsidRPr="00FB29AD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Nakil Komisyonunun Oluş</w:t>
            </w:r>
            <w:r w:rsidR="00141044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mu, Çalışma Usul ve Esasları ile Nakil </w:t>
            </w:r>
          </w:p>
          <w:p w14:paraId="294EF1F3" w14:textId="6C38DCEC" w:rsidR="00FB29AD" w:rsidRPr="00FB29AD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3E25">
              <w:rPr>
                <w:rFonts w:ascii="Times New Roman" w:eastAsia="Calibri" w:hAnsi="Times New Roman"/>
                <w:sz w:val="24"/>
                <w:szCs w:val="24"/>
              </w:rPr>
              <w:t>İşlemlerine</w:t>
            </w:r>
          </w:p>
        </w:tc>
        <w:tc>
          <w:tcPr>
            <w:tcW w:w="450" w:type="dxa"/>
          </w:tcPr>
          <w:p w14:paraId="78F64391" w14:textId="1A8B1015" w:rsidR="00FB29AD" w:rsidRPr="00FB29AD" w:rsidRDefault="00FB29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540" w:type="dxa"/>
          </w:tcPr>
          <w:p w14:paraId="1647D66C" w14:textId="38D061EE" w:rsidR="00FB29AD" w:rsidRPr="00FB29AD" w:rsidRDefault="00FB29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(1)</w:t>
            </w:r>
          </w:p>
        </w:tc>
        <w:tc>
          <w:tcPr>
            <w:tcW w:w="4590" w:type="dxa"/>
            <w:gridSpan w:val="5"/>
          </w:tcPr>
          <w:p w14:paraId="54A4D05E" w14:textId="2C8041E0" w:rsidR="00FB29AD" w:rsidRPr="00FB29AD" w:rsidRDefault="00703E25" w:rsidP="008C62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E25">
              <w:rPr>
                <w:rFonts w:ascii="Times New Roman" w:eastAsia="Calibri" w:hAnsi="Times New Roman"/>
                <w:sz w:val="24"/>
                <w:szCs w:val="24"/>
              </w:rPr>
              <w:t xml:space="preserve">Bu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Y</w:t>
            </w:r>
            <w:r w:rsidRPr="00703E25">
              <w:rPr>
                <w:rFonts w:ascii="Times New Roman" w:eastAsia="Calibri" w:hAnsi="Times New Roman"/>
                <w:sz w:val="24"/>
                <w:szCs w:val="24"/>
              </w:rPr>
              <w:t>asa tahtında, bir başka belediye ile yeni bir tüzel kişilik altında birleştirilen ve yerleşim alanı sayısı azaltılarak küçülen belediyelere ait personel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8C62E8">
              <w:rPr>
                <w:rFonts w:ascii="Times New Roman" w:eastAsia="Calibri" w:hAnsi="Times New Roman"/>
                <w:sz w:val="24"/>
                <w:szCs w:val="24"/>
              </w:rPr>
              <w:t>bu</w:t>
            </w:r>
            <w:r w:rsidR="00286E93">
              <w:rPr>
                <w:rFonts w:ascii="Times New Roman" w:eastAsia="Calibri" w:hAnsi="Times New Roman"/>
                <w:sz w:val="24"/>
                <w:szCs w:val="24"/>
              </w:rPr>
              <w:t xml:space="preserve"> (Değişiklik No:2) </w:t>
            </w:r>
            <w:r w:rsidR="008C62E8">
              <w:rPr>
                <w:rFonts w:ascii="Times New Roman" w:eastAsia="Calibri" w:hAnsi="Times New Roman"/>
                <w:sz w:val="24"/>
                <w:szCs w:val="24"/>
              </w:rPr>
              <w:t>Yasa</w:t>
            </w:r>
            <w:r w:rsidR="00286E93">
              <w:rPr>
                <w:rFonts w:ascii="Times New Roman" w:eastAsia="Calibri" w:hAnsi="Times New Roman"/>
                <w:sz w:val="24"/>
                <w:szCs w:val="24"/>
              </w:rPr>
              <w:t>sı</w:t>
            </w:r>
            <w:r w:rsidR="00C476A8">
              <w:rPr>
                <w:rFonts w:ascii="Times New Roman" w:eastAsia="Calibri" w:hAnsi="Times New Roman"/>
                <w:sz w:val="24"/>
                <w:szCs w:val="24"/>
              </w:rPr>
              <w:t xml:space="preserve"> ile oluşturulan Nakil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Komisyonu</w:t>
            </w:r>
            <w:r w:rsidR="00C476A8">
              <w:rPr>
                <w:rFonts w:ascii="Times New Roman" w:eastAsia="Calibri" w:hAnsi="Times New Roman"/>
                <w:sz w:val="24"/>
                <w:szCs w:val="24"/>
              </w:rPr>
              <w:t>na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yapacağı yazılı talep ve 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t>rıza</w:t>
            </w:r>
            <w:r w:rsidR="00D57C2B" w:rsidRPr="008C62E8">
              <w:rPr>
                <w:rFonts w:ascii="Times New Roman" w:eastAsia="Calibri" w:hAnsi="Times New Roman"/>
                <w:sz w:val="24"/>
                <w:szCs w:val="24"/>
              </w:rPr>
              <w:t>sı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C610A">
              <w:rPr>
                <w:rFonts w:ascii="Times New Roman" w:eastAsia="Calibri" w:hAnsi="Times New Roman"/>
                <w:sz w:val="24"/>
                <w:szCs w:val="24"/>
              </w:rPr>
              <w:t xml:space="preserve">olması koşuluyla, </w:t>
            </w:r>
            <w:r w:rsidRPr="00703E25">
              <w:rPr>
                <w:rFonts w:ascii="Times New Roman" w:eastAsia="Calibri" w:hAnsi="Times New Roman"/>
                <w:sz w:val="24"/>
                <w:szCs w:val="24"/>
              </w:rPr>
              <w:t xml:space="preserve">yerleşim alanlarını alan belediyelere </w:t>
            </w:r>
            <w:r w:rsidR="0043388B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Pr="00703E25">
              <w:rPr>
                <w:rFonts w:ascii="Times New Roman" w:eastAsia="Calibri" w:hAnsi="Times New Roman"/>
                <w:sz w:val="24"/>
                <w:szCs w:val="24"/>
              </w:rPr>
              <w:t xml:space="preserve">akil </w:t>
            </w:r>
            <w:r w:rsidR="0043388B">
              <w:rPr>
                <w:rFonts w:ascii="Times New Roman" w:eastAsia="Calibri" w:hAnsi="Times New Roman"/>
                <w:sz w:val="24"/>
                <w:szCs w:val="24"/>
              </w:rPr>
              <w:t>K</w:t>
            </w:r>
            <w:r w:rsidRPr="00703E25">
              <w:rPr>
                <w:rFonts w:ascii="Times New Roman" w:eastAsia="Calibri" w:hAnsi="Times New Roman"/>
                <w:sz w:val="24"/>
                <w:szCs w:val="24"/>
              </w:rPr>
              <w:t xml:space="preserve">omisyonu aracılığı ile nakledilirler. </w:t>
            </w:r>
          </w:p>
        </w:tc>
      </w:tr>
      <w:tr w:rsidR="00703E25" w:rsidRPr="00FB29AD" w14:paraId="61349FA4" w14:textId="77777777" w:rsidTr="00703E25">
        <w:tc>
          <w:tcPr>
            <w:tcW w:w="1638" w:type="dxa"/>
          </w:tcPr>
          <w:p w14:paraId="38480465" w14:textId="26F467FA" w:rsidR="00703E25" w:rsidRPr="00703E25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DD770D" w14:textId="77777777" w:rsidR="00703E25" w:rsidRPr="00FB29AD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2CF7D3" w14:textId="12DE10D8" w:rsidR="00703E25" w:rsidRPr="00FB29AD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3E25">
              <w:rPr>
                <w:rFonts w:ascii="Times New Roman" w:eastAsia="Calibri" w:hAnsi="Times New Roman"/>
                <w:sz w:val="24"/>
                <w:szCs w:val="24"/>
              </w:rPr>
              <w:t>İlişkin Kurallar</w:t>
            </w:r>
          </w:p>
        </w:tc>
        <w:tc>
          <w:tcPr>
            <w:tcW w:w="450" w:type="dxa"/>
          </w:tcPr>
          <w:p w14:paraId="7C2C4C24" w14:textId="77777777" w:rsidR="00703E25" w:rsidRDefault="00703E25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A71EFE6" w14:textId="12BC39BD" w:rsidR="00703E25" w:rsidRDefault="00703E25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(2)</w:t>
            </w:r>
          </w:p>
        </w:tc>
        <w:tc>
          <w:tcPr>
            <w:tcW w:w="630" w:type="dxa"/>
            <w:gridSpan w:val="2"/>
          </w:tcPr>
          <w:p w14:paraId="26A06551" w14:textId="311A75B2" w:rsidR="00703E25" w:rsidRPr="00703E25" w:rsidRDefault="00703E25" w:rsidP="00703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(A)</w:t>
            </w:r>
          </w:p>
        </w:tc>
        <w:tc>
          <w:tcPr>
            <w:tcW w:w="3960" w:type="dxa"/>
            <w:gridSpan w:val="3"/>
          </w:tcPr>
          <w:p w14:paraId="100D16E9" w14:textId="055C046E" w:rsidR="00703E25" w:rsidRPr="00703E25" w:rsidRDefault="008C62E8" w:rsidP="008C62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03E25">
              <w:rPr>
                <w:rFonts w:ascii="Times New Roman" w:eastAsia="Calibri" w:hAnsi="Times New Roman"/>
                <w:sz w:val="24"/>
                <w:szCs w:val="24"/>
              </w:rPr>
              <w:t>Nakil Komisyonu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bu (Değişiklik No:2) Yasasının yürürlüğe girdiği tarihten itibaren en geç 15 (on beş) gün içerisinde 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t xml:space="preserve">bu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Yasa 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t>tahtında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oluşturulur.</w:t>
            </w:r>
            <w:r w:rsidR="00703E25" w:rsidRPr="00703E2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703E25" w:rsidRPr="00FB29AD" w14:paraId="018D8442" w14:textId="77777777" w:rsidTr="00703E25">
        <w:tc>
          <w:tcPr>
            <w:tcW w:w="1638" w:type="dxa"/>
          </w:tcPr>
          <w:p w14:paraId="1B1E1DBE" w14:textId="77777777" w:rsidR="00703E25" w:rsidRPr="00703E25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D67BF16" w14:textId="77777777" w:rsidR="00703E25" w:rsidRPr="00FB29AD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01AB09E" w14:textId="77777777" w:rsidR="00703E25" w:rsidRPr="00703E25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AF68087" w14:textId="77777777" w:rsidR="00703E25" w:rsidRDefault="00703E25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DADA0CC" w14:textId="77777777" w:rsidR="00703E25" w:rsidRDefault="00703E25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8FE7F36" w14:textId="1E0B9661" w:rsidR="00703E25" w:rsidRDefault="00703E25" w:rsidP="00703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(B)</w:t>
            </w:r>
          </w:p>
        </w:tc>
        <w:tc>
          <w:tcPr>
            <w:tcW w:w="3960" w:type="dxa"/>
            <w:gridSpan w:val="3"/>
          </w:tcPr>
          <w:p w14:paraId="666310EF" w14:textId="7BD1425F" w:rsidR="00703E25" w:rsidRPr="00703E25" w:rsidRDefault="008C62E8" w:rsidP="008C62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Nakil Komisyonu, Bakanlık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t xml:space="preserve"> Müsteşarı Başkanlığında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t xml:space="preserve">Yerel Yönetimler Müdürü, personeli veren ve alan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ilgili </w:t>
            </w:r>
            <w:r w:rsidR="00141044">
              <w:rPr>
                <w:rFonts w:ascii="Times New Roman" w:eastAsia="Calibri" w:hAnsi="Times New Roman"/>
                <w:sz w:val="24"/>
                <w:szCs w:val="24"/>
              </w:rPr>
              <w:t>belediye b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t xml:space="preserve">aşkanları, Kıbrıs Türk Belediyeler Birliği temsilcisi, Personel Dairesi Müdürlüğü temsilcisi ve ilgili belediyelerdeki yetkili sendika temsilcilerinden oluşur. </w:t>
            </w:r>
          </w:p>
        </w:tc>
      </w:tr>
      <w:tr w:rsidR="00703E25" w:rsidRPr="00FB29AD" w14:paraId="0B2D6973" w14:textId="77777777" w:rsidTr="00703E25">
        <w:tc>
          <w:tcPr>
            <w:tcW w:w="1638" w:type="dxa"/>
          </w:tcPr>
          <w:p w14:paraId="4140ED08" w14:textId="77777777" w:rsidR="00703E25" w:rsidRPr="00703E25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2D2309B" w14:textId="77777777" w:rsidR="00703E25" w:rsidRPr="00FB29AD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9FAF4F" w14:textId="77777777" w:rsidR="00703E25" w:rsidRPr="00703E25" w:rsidRDefault="00703E25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D152D0E" w14:textId="77777777" w:rsidR="00703E25" w:rsidRDefault="00703E25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06E7D9B" w14:textId="77777777" w:rsidR="00703E25" w:rsidRDefault="00703E25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9D55F2E" w14:textId="0FEAB538" w:rsidR="00703E25" w:rsidRDefault="00F152AF" w:rsidP="00703E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(C) </w:t>
            </w:r>
          </w:p>
        </w:tc>
        <w:tc>
          <w:tcPr>
            <w:tcW w:w="3960" w:type="dxa"/>
            <w:gridSpan w:val="3"/>
          </w:tcPr>
          <w:p w14:paraId="29B12035" w14:textId="600EE581" w:rsidR="00703E25" w:rsidRDefault="008C62E8" w:rsidP="008C62E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Nakil Komisyonu Ba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t>kanlık Mü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steşarı başkanlığında toplanır. Başkanın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t xml:space="preserve">  yurt dışında bulunması, hastalık veya herhangi bir nedenle görevi b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aşında bulunmadığı hallerde ise 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t xml:space="preserve">Yerel 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Yönetimler Müdürü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başkanlığında toplanır</w:t>
            </w:r>
            <w:r w:rsidRPr="008C62E8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</w:tr>
      <w:tr w:rsidR="008C62E8" w:rsidRPr="00FB29AD" w14:paraId="51B9967B" w14:textId="77777777" w:rsidTr="008C62E8">
        <w:tc>
          <w:tcPr>
            <w:tcW w:w="1638" w:type="dxa"/>
          </w:tcPr>
          <w:p w14:paraId="2409A6BC" w14:textId="77777777" w:rsidR="008C62E8" w:rsidRPr="00703E25" w:rsidRDefault="008C62E8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14E47DA" w14:textId="77777777" w:rsidR="008C62E8" w:rsidRPr="00FB29AD" w:rsidRDefault="008C62E8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272998" w14:textId="77777777" w:rsidR="008C62E8" w:rsidRPr="00703E25" w:rsidRDefault="008C62E8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739D4A" w14:textId="77777777" w:rsidR="008C62E8" w:rsidRDefault="008C62E8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E65D709" w14:textId="77777777" w:rsidR="008C62E8" w:rsidRDefault="008C62E8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3F71BC1" w14:textId="3FFAD331" w:rsidR="008C62E8" w:rsidRDefault="008C62E8" w:rsidP="00F15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(Ç)</w:t>
            </w:r>
          </w:p>
        </w:tc>
        <w:tc>
          <w:tcPr>
            <w:tcW w:w="592" w:type="dxa"/>
            <w:gridSpan w:val="2"/>
          </w:tcPr>
          <w:p w14:paraId="70B71ABF" w14:textId="638598F2" w:rsidR="008C62E8" w:rsidRDefault="008C62E8" w:rsidP="00F15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(a)</w:t>
            </w:r>
          </w:p>
        </w:tc>
        <w:tc>
          <w:tcPr>
            <w:tcW w:w="3368" w:type="dxa"/>
          </w:tcPr>
          <w:p w14:paraId="69F0B0C0" w14:textId="52F83BF0" w:rsidR="008C62E8" w:rsidRDefault="008C62E8" w:rsidP="00F15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Nakil Komisyonu, başkanın yapacağı çağrı üzerine ayda en az 1 (bir) kez toplanır.</w:t>
            </w:r>
          </w:p>
        </w:tc>
      </w:tr>
      <w:tr w:rsidR="009062AD" w:rsidRPr="00FB29AD" w14:paraId="1B0AB08F" w14:textId="77777777" w:rsidTr="008C62E8">
        <w:tc>
          <w:tcPr>
            <w:tcW w:w="1638" w:type="dxa"/>
          </w:tcPr>
          <w:p w14:paraId="2EEA2EB6" w14:textId="77777777" w:rsidR="009062AD" w:rsidRPr="00703E25" w:rsidRDefault="009062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90EC0D3" w14:textId="77777777" w:rsidR="009062AD" w:rsidRPr="00FB29AD" w:rsidRDefault="009062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084E25" w14:textId="77777777" w:rsidR="009062AD" w:rsidRPr="00703E25" w:rsidRDefault="009062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7AAC612" w14:textId="77777777" w:rsidR="009062AD" w:rsidRDefault="009062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D7D7848" w14:textId="77777777" w:rsidR="009062AD" w:rsidRDefault="009062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17C3088" w14:textId="77777777" w:rsidR="009062AD" w:rsidRDefault="009062AD" w:rsidP="00F15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14:paraId="545EAB18" w14:textId="51C83C84" w:rsidR="009062AD" w:rsidRDefault="009062AD" w:rsidP="00F15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(b)</w:t>
            </w:r>
          </w:p>
        </w:tc>
        <w:tc>
          <w:tcPr>
            <w:tcW w:w="3368" w:type="dxa"/>
          </w:tcPr>
          <w:p w14:paraId="4ED6A1D1" w14:textId="213A8C55" w:rsidR="009062AD" w:rsidRDefault="009062AD" w:rsidP="00F15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62AD">
              <w:rPr>
                <w:rFonts w:ascii="Times New Roman" w:eastAsia="Calibri" w:hAnsi="Times New Roman"/>
                <w:sz w:val="24"/>
                <w:szCs w:val="24"/>
              </w:rPr>
              <w:t>Toplantı gün, saat, yer ve görüşülecek konular to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plantı tarihinden en az </w:t>
            </w:r>
            <w:r w:rsidRPr="009062AD">
              <w:rPr>
                <w:rFonts w:ascii="Times New Roman" w:eastAsia="Calibri" w:hAnsi="Times New Roman"/>
                <w:sz w:val="24"/>
                <w:szCs w:val="24"/>
              </w:rPr>
              <w:t>2 (iki) iş günü önce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sinden</w:t>
            </w:r>
            <w:r w:rsidRPr="009062AD">
              <w:rPr>
                <w:rFonts w:ascii="Times New Roman" w:eastAsia="Calibri" w:hAnsi="Times New Roman"/>
                <w:sz w:val="24"/>
                <w:szCs w:val="24"/>
              </w:rPr>
              <w:t xml:space="preserve"> üyelere yazılı çağrı, posta ve/veya elektronik posta yolu ile bildirilir.</w:t>
            </w:r>
          </w:p>
        </w:tc>
      </w:tr>
      <w:tr w:rsidR="009062AD" w:rsidRPr="00FB29AD" w14:paraId="1AEC2495" w14:textId="77777777" w:rsidTr="008C62E8">
        <w:tc>
          <w:tcPr>
            <w:tcW w:w="1638" w:type="dxa"/>
          </w:tcPr>
          <w:p w14:paraId="025DCF55" w14:textId="77777777" w:rsidR="009062AD" w:rsidRPr="00703E25" w:rsidRDefault="009062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3E7A4C7" w14:textId="77777777" w:rsidR="009062AD" w:rsidRPr="00FB29AD" w:rsidRDefault="009062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A94946" w14:textId="77777777" w:rsidR="009062AD" w:rsidRPr="00703E25" w:rsidRDefault="009062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16CF140" w14:textId="77777777" w:rsidR="009062AD" w:rsidRDefault="009062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B6FF086" w14:textId="77777777" w:rsidR="009062AD" w:rsidRDefault="009062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06B4170" w14:textId="77777777" w:rsidR="009062AD" w:rsidRDefault="009062AD" w:rsidP="00F15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14:paraId="6DBA29CB" w14:textId="35132A20" w:rsidR="009062AD" w:rsidRDefault="009062AD" w:rsidP="00F15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(c)</w:t>
            </w:r>
          </w:p>
        </w:tc>
        <w:tc>
          <w:tcPr>
            <w:tcW w:w="3368" w:type="dxa"/>
          </w:tcPr>
          <w:p w14:paraId="19E25539" w14:textId="5C682170" w:rsidR="009062AD" w:rsidRPr="009062AD" w:rsidRDefault="009062AD" w:rsidP="00F152A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</w:t>
            </w:r>
            <w:r w:rsidRPr="0043388B">
              <w:rPr>
                <w:rFonts w:ascii="Times New Roman" w:eastAsia="Calibri" w:hAnsi="Times New Roman"/>
                <w:sz w:val="24"/>
                <w:szCs w:val="24"/>
              </w:rPr>
              <w:t>oplantı yeter sayısı 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ye tam sayısının salt çoğunluğu;</w:t>
            </w:r>
            <w:r w:rsidRPr="0043388B">
              <w:rPr>
                <w:rFonts w:ascii="Times New Roman" w:eastAsia="Calibri" w:hAnsi="Times New Roman"/>
                <w:sz w:val="24"/>
                <w:szCs w:val="24"/>
              </w:rPr>
              <w:t xml:space="preserve"> toplantı karar yeter sayısı ise toplantıya katılan üyelerin salt çoğunluğudur.</w:t>
            </w:r>
          </w:p>
        </w:tc>
      </w:tr>
      <w:tr w:rsidR="00973061" w:rsidRPr="009062AD" w14:paraId="204D32E6" w14:textId="77777777" w:rsidTr="00812A8E">
        <w:tc>
          <w:tcPr>
            <w:tcW w:w="1638" w:type="dxa"/>
          </w:tcPr>
          <w:p w14:paraId="3AD181D4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26E806E" w14:textId="77777777" w:rsidR="00973061" w:rsidRPr="00FB29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441AA58" w14:textId="77777777" w:rsidR="00973061" w:rsidRPr="009062AD" w:rsidRDefault="00973061" w:rsidP="00812A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2AD">
              <w:rPr>
                <w:rFonts w:ascii="Times New Roman" w:eastAsia="Times New Roman" w:hAnsi="Times New Roman"/>
                <w:sz w:val="24"/>
                <w:szCs w:val="24"/>
              </w:rPr>
              <w:t>65/2007</w:t>
            </w:r>
          </w:p>
          <w:p w14:paraId="5630B627" w14:textId="77777777" w:rsidR="00973061" w:rsidRPr="009062AD" w:rsidRDefault="00973061" w:rsidP="00812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62AD">
              <w:rPr>
                <w:rFonts w:ascii="Times New Roman" w:eastAsia="Times New Roman" w:hAnsi="Times New Roman"/>
                <w:sz w:val="24"/>
                <w:szCs w:val="24"/>
              </w:rPr>
              <w:t xml:space="preserve">    27/2009</w:t>
            </w:r>
          </w:p>
          <w:p w14:paraId="25C8DB40" w14:textId="77777777" w:rsidR="00973061" w:rsidRPr="009062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62AD">
              <w:rPr>
                <w:rFonts w:ascii="Times New Roman" w:eastAsia="Times New Roman" w:hAnsi="Times New Roman"/>
                <w:sz w:val="24"/>
                <w:szCs w:val="24"/>
              </w:rPr>
              <w:t xml:space="preserve">    26/2010</w:t>
            </w:r>
          </w:p>
        </w:tc>
        <w:tc>
          <w:tcPr>
            <w:tcW w:w="450" w:type="dxa"/>
          </w:tcPr>
          <w:p w14:paraId="258FDB00" w14:textId="77777777" w:rsidR="00973061" w:rsidRPr="009062AD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AD1640C" w14:textId="77777777" w:rsidR="00973061" w:rsidRPr="009062AD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62AD">
              <w:rPr>
                <w:rFonts w:ascii="Times New Roman" w:eastAsia="Calibri" w:hAnsi="Times New Roman"/>
                <w:sz w:val="24"/>
                <w:szCs w:val="24"/>
              </w:rPr>
              <w:t>(3)</w:t>
            </w:r>
          </w:p>
        </w:tc>
        <w:tc>
          <w:tcPr>
            <w:tcW w:w="630" w:type="dxa"/>
            <w:gridSpan w:val="2"/>
          </w:tcPr>
          <w:p w14:paraId="6DF7DA0D" w14:textId="77777777" w:rsidR="00973061" w:rsidRPr="009062AD" w:rsidRDefault="00973061" w:rsidP="00812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2AD">
              <w:rPr>
                <w:rFonts w:ascii="Times New Roman" w:eastAsia="Calibri" w:hAnsi="Times New Roman"/>
                <w:sz w:val="24"/>
                <w:szCs w:val="24"/>
              </w:rPr>
              <w:t>(A)</w:t>
            </w:r>
          </w:p>
        </w:tc>
        <w:tc>
          <w:tcPr>
            <w:tcW w:w="3870" w:type="dxa"/>
            <w:gridSpan w:val="2"/>
          </w:tcPr>
          <w:p w14:paraId="58751FAE" w14:textId="77777777" w:rsidR="00973061" w:rsidRPr="009062AD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62AD">
              <w:rPr>
                <w:rFonts w:ascii="Times New Roman" w:eastAsia="Calibri" w:hAnsi="Times New Roman"/>
                <w:sz w:val="24"/>
                <w:szCs w:val="24"/>
              </w:rPr>
              <w:t>Nakiller, Belediye Personel Yasası kapsamında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çalışanların statüsü ve baremi </w:t>
            </w:r>
            <w:r w:rsidRPr="009062AD">
              <w:rPr>
                <w:rFonts w:ascii="Times New Roman" w:eastAsia="Calibri" w:hAnsi="Times New Roman"/>
                <w:sz w:val="24"/>
                <w:szCs w:val="24"/>
              </w:rPr>
              <w:t>değiştirilmeksizin gerçekleştirilir.</w:t>
            </w:r>
          </w:p>
        </w:tc>
      </w:tr>
      <w:tr w:rsidR="00973061" w:rsidRPr="009062AD" w14:paraId="47BC611F" w14:textId="77777777" w:rsidTr="00812A8E">
        <w:tc>
          <w:tcPr>
            <w:tcW w:w="1638" w:type="dxa"/>
          </w:tcPr>
          <w:p w14:paraId="4CA66F7B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80F97EE" w14:textId="77777777" w:rsidR="00973061" w:rsidRPr="00FB29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443B8E" w14:textId="77777777" w:rsidR="00973061" w:rsidRPr="009062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ADBC55" w14:textId="77777777" w:rsidR="00973061" w:rsidRPr="009062AD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91EEB90" w14:textId="77777777" w:rsidR="00973061" w:rsidRPr="009062AD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23FAF42" w14:textId="77777777" w:rsidR="00973061" w:rsidRPr="009062AD" w:rsidRDefault="00973061" w:rsidP="00812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2AD">
              <w:rPr>
                <w:rFonts w:ascii="Times New Roman" w:eastAsia="Calibri" w:hAnsi="Times New Roman"/>
                <w:sz w:val="24"/>
                <w:szCs w:val="24"/>
              </w:rPr>
              <w:t>(B)</w:t>
            </w:r>
          </w:p>
        </w:tc>
        <w:tc>
          <w:tcPr>
            <w:tcW w:w="3870" w:type="dxa"/>
            <w:gridSpan w:val="2"/>
          </w:tcPr>
          <w:p w14:paraId="00333672" w14:textId="77777777" w:rsidR="00973061" w:rsidRPr="009062AD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62AD">
              <w:rPr>
                <w:rFonts w:ascii="Times New Roman" w:eastAsia="Calibri" w:hAnsi="Times New Roman"/>
                <w:sz w:val="24"/>
                <w:szCs w:val="24"/>
              </w:rPr>
              <w:t xml:space="preserve">Yukarıdaki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(A) bendi uyarınca nakledilecek </w:t>
            </w:r>
            <w:r w:rsidRPr="009062AD">
              <w:rPr>
                <w:rFonts w:ascii="Times New Roman" w:eastAsia="Calibri" w:hAnsi="Times New Roman"/>
                <w:sz w:val="24"/>
                <w:szCs w:val="24"/>
              </w:rPr>
              <w:t>çalışanlar, nakledildikleri belediyedeki (hizmet yılları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na halel gelmeksizin) Toplu İş S</w:t>
            </w:r>
            <w:r w:rsidRPr="009062AD">
              <w:rPr>
                <w:rFonts w:ascii="Times New Roman" w:eastAsia="Calibri" w:hAnsi="Times New Roman"/>
                <w:sz w:val="24"/>
                <w:szCs w:val="24"/>
              </w:rPr>
              <w:t>özleşmesinde yer alan kendi statüsündeki kurallara tabi olurlar.</w:t>
            </w:r>
          </w:p>
        </w:tc>
      </w:tr>
      <w:tr w:rsidR="00973061" w:rsidRPr="009062AD" w14:paraId="65D37971" w14:textId="77777777" w:rsidTr="00812A8E">
        <w:tc>
          <w:tcPr>
            <w:tcW w:w="1638" w:type="dxa"/>
          </w:tcPr>
          <w:p w14:paraId="20E6B476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DA5DEB2" w14:textId="77777777" w:rsidR="00973061" w:rsidRPr="00FB29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5D259B" w14:textId="77777777" w:rsidR="00973061" w:rsidRPr="009062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378AE6E" w14:textId="77777777" w:rsidR="00973061" w:rsidRPr="009062AD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7C8AD5F" w14:textId="77777777" w:rsidR="00973061" w:rsidRPr="009062AD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58AFCF35" w14:textId="77777777" w:rsidR="00973061" w:rsidRPr="009062AD" w:rsidRDefault="00973061" w:rsidP="00812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62AD">
              <w:rPr>
                <w:rFonts w:ascii="Times New Roman" w:eastAsia="Calibri" w:hAnsi="Times New Roman"/>
                <w:sz w:val="24"/>
                <w:szCs w:val="24"/>
              </w:rPr>
              <w:t>(C)</w:t>
            </w:r>
          </w:p>
        </w:tc>
        <w:tc>
          <w:tcPr>
            <w:tcW w:w="3870" w:type="dxa"/>
            <w:gridSpan w:val="2"/>
          </w:tcPr>
          <w:p w14:paraId="6BACF8D8" w14:textId="2EE8B045" w:rsidR="00973061" w:rsidRPr="009062AD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62AD">
              <w:rPr>
                <w:rFonts w:ascii="Times New Roman" w:eastAsia="Calibri" w:hAnsi="Times New Roman"/>
                <w:sz w:val="24"/>
                <w:szCs w:val="24"/>
              </w:rPr>
              <w:t>Nakillerin yapılacağı kadrolarda münhal bulunmaması halinde</w:t>
            </w:r>
            <w:r w:rsidR="004275F4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9062AD">
              <w:rPr>
                <w:rFonts w:ascii="Times New Roman" w:eastAsia="Calibri" w:hAnsi="Times New Roman"/>
                <w:sz w:val="24"/>
                <w:szCs w:val="24"/>
              </w:rPr>
              <w:t xml:space="preserve"> ilgili çalışanlar, tüm hakları saklı kalmak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koşuluyla</w:t>
            </w:r>
            <w:r w:rsidRPr="009062AD">
              <w:rPr>
                <w:rFonts w:ascii="Times New Roman" w:eastAsia="Calibri" w:hAnsi="Times New Roman"/>
                <w:sz w:val="24"/>
                <w:szCs w:val="24"/>
              </w:rPr>
              <w:t xml:space="preserve"> kadro fazlası olarak nakledilirler.</w:t>
            </w:r>
          </w:p>
        </w:tc>
      </w:tr>
      <w:tr w:rsidR="00973061" w:rsidRPr="0043388B" w14:paraId="3E6DAA69" w14:textId="77777777" w:rsidTr="00812A8E">
        <w:tc>
          <w:tcPr>
            <w:tcW w:w="1638" w:type="dxa"/>
          </w:tcPr>
          <w:p w14:paraId="7CE6D15E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3DFB03E0" w14:textId="77777777" w:rsidR="00973061" w:rsidRPr="00FB29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1D0849C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77C4584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583A190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(4)</w:t>
            </w:r>
          </w:p>
        </w:tc>
        <w:tc>
          <w:tcPr>
            <w:tcW w:w="4500" w:type="dxa"/>
            <w:gridSpan w:val="4"/>
          </w:tcPr>
          <w:p w14:paraId="75D9C529" w14:textId="77777777" w:rsidR="00973061" w:rsidRPr="0043388B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388B">
              <w:rPr>
                <w:rFonts w:ascii="Times New Roman" w:eastAsia="Calibri" w:hAnsi="Times New Roman"/>
                <w:sz w:val="24"/>
                <w:szCs w:val="24"/>
              </w:rPr>
              <w:t xml:space="preserve">Nakillerde personelin rızası ve yazılı talebi esastır. Yazılı başvurular </w:t>
            </w:r>
            <w:r w:rsidRPr="0029179E">
              <w:rPr>
                <w:rFonts w:ascii="Times New Roman" w:eastAsia="Calibri" w:hAnsi="Times New Roman"/>
                <w:sz w:val="24"/>
                <w:szCs w:val="24"/>
              </w:rPr>
              <w:t xml:space="preserve">Nakil Komisyonuna </w:t>
            </w:r>
            <w:r w:rsidRPr="0043388B">
              <w:rPr>
                <w:rFonts w:ascii="Times New Roman" w:eastAsia="Calibri" w:hAnsi="Times New Roman"/>
                <w:sz w:val="24"/>
                <w:szCs w:val="24"/>
              </w:rPr>
              <w:t>yapılır.</w:t>
            </w:r>
          </w:p>
        </w:tc>
      </w:tr>
      <w:tr w:rsidR="00973061" w:rsidRPr="0043388B" w14:paraId="53F89F9D" w14:textId="77777777" w:rsidTr="00812A8E">
        <w:tc>
          <w:tcPr>
            <w:tcW w:w="1638" w:type="dxa"/>
          </w:tcPr>
          <w:p w14:paraId="102F4302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02A546F" w14:textId="77777777" w:rsidR="00973061" w:rsidRPr="00FB29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2F5DC58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D131ABF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0F60680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(5)</w:t>
            </w:r>
          </w:p>
        </w:tc>
        <w:tc>
          <w:tcPr>
            <w:tcW w:w="4500" w:type="dxa"/>
            <w:gridSpan w:val="4"/>
          </w:tcPr>
          <w:p w14:paraId="396432AB" w14:textId="77777777" w:rsidR="00973061" w:rsidRPr="0043388B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388B">
              <w:rPr>
                <w:rFonts w:ascii="Times New Roman" w:eastAsia="Calibri" w:hAnsi="Times New Roman"/>
                <w:sz w:val="24"/>
                <w:szCs w:val="24"/>
              </w:rPr>
              <w:t xml:space="preserve">Nakiller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bu (Değişiklik No:2) Y</w:t>
            </w:r>
            <w:r w:rsidRPr="0043388B">
              <w:rPr>
                <w:rFonts w:ascii="Times New Roman" w:eastAsia="Calibri" w:hAnsi="Times New Roman"/>
                <w:sz w:val="24"/>
                <w:szCs w:val="24"/>
              </w:rPr>
              <w:t>asa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sı</w:t>
            </w:r>
            <w:r w:rsidRPr="0043388B">
              <w:rPr>
                <w:rFonts w:ascii="Times New Roman" w:eastAsia="Calibri" w:hAnsi="Times New Roman"/>
                <w:sz w:val="24"/>
                <w:szCs w:val="24"/>
              </w:rPr>
              <w:t xml:space="preserve">nın yürürlüğe girdiği tarihten itibaren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120     (yüz yirmi)</w:t>
            </w:r>
            <w:r w:rsidRPr="0043388B">
              <w:rPr>
                <w:rFonts w:ascii="Times New Roman" w:eastAsia="Calibri" w:hAnsi="Times New Roman"/>
                <w:sz w:val="24"/>
                <w:szCs w:val="24"/>
              </w:rPr>
              <w:t xml:space="preserve"> gün içerisinde tamamlanır.</w:t>
            </w:r>
          </w:p>
        </w:tc>
      </w:tr>
      <w:tr w:rsidR="00973061" w:rsidRPr="0043388B" w14:paraId="5DF9FD73" w14:textId="77777777" w:rsidTr="00812A8E">
        <w:tc>
          <w:tcPr>
            <w:tcW w:w="1638" w:type="dxa"/>
          </w:tcPr>
          <w:p w14:paraId="04102D8B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BAFE95C" w14:textId="77777777" w:rsidR="00973061" w:rsidRPr="00FB29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9873A5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1995948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302FEEA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(6)</w:t>
            </w:r>
          </w:p>
        </w:tc>
        <w:tc>
          <w:tcPr>
            <w:tcW w:w="4500" w:type="dxa"/>
            <w:gridSpan w:val="4"/>
          </w:tcPr>
          <w:p w14:paraId="14FA3618" w14:textId="77777777" w:rsidR="00973061" w:rsidRPr="0043388B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Nakillerin tamamlanmasına</w:t>
            </w:r>
            <w:r w:rsidRPr="0043388B">
              <w:rPr>
                <w:rFonts w:ascii="Times New Roman" w:eastAsia="Calibri" w:hAnsi="Times New Roman"/>
                <w:sz w:val="24"/>
                <w:szCs w:val="24"/>
              </w:rPr>
              <w:t xml:space="preserve"> müt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eakip Nakil Komisyonun görevi</w:t>
            </w:r>
            <w:r w:rsidRPr="0043388B">
              <w:rPr>
                <w:rFonts w:ascii="Times New Roman" w:eastAsia="Calibri" w:hAnsi="Times New Roman"/>
                <w:sz w:val="24"/>
                <w:szCs w:val="24"/>
              </w:rPr>
              <w:t xml:space="preserve"> sona erer.</w:t>
            </w:r>
          </w:p>
        </w:tc>
      </w:tr>
      <w:tr w:rsidR="00973061" w14:paraId="24726AE6" w14:textId="77777777" w:rsidTr="00812A8E">
        <w:tc>
          <w:tcPr>
            <w:tcW w:w="1638" w:type="dxa"/>
          </w:tcPr>
          <w:p w14:paraId="5A7D1099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0AF2A609" w14:textId="77777777" w:rsidR="00973061" w:rsidRPr="00FB29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9D862B1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D4ED55A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745BA83F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14DB5">
              <w:rPr>
                <w:rFonts w:ascii="Times New Roman" w:eastAsia="Calibri" w:hAnsi="Times New Roman"/>
                <w:sz w:val="24"/>
                <w:szCs w:val="24"/>
              </w:rPr>
              <w:t>(7)</w:t>
            </w:r>
          </w:p>
        </w:tc>
        <w:tc>
          <w:tcPr>
            <w:tcW w:w="4500" w:type="dxa"/>
            <w:gridSpan w:val="4"/>
          </w:tcPr>
          <w:p w14:paraId="7B526ED2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Nakledilen personelin kıdem tazminatına ilişkin uygulanacak kurallar şunlardır:</w:t>
            </w:r>
          </w:p>
        </w:tc>
      </w:tr>
      <w:tr w:rsidR="00973061" w:rsidRPr="00973061" w14:paraId="4CAF284B" w14:textId="77777777" w:rsidTr="00812A8E">
        <w:tc>
          <w:tcPr>
            <w:tcW w:w="1638" w:type="dxa"/>
          </w:tcPr>
          <w:p w14:paraId="547BAFBA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81158ED" w14:textId="77777777" w:rsidR="00973061" w:rsidRPr="00FB29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8D3438" w14:textId="77777777" w:rsidR="00973061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019240F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F891384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38BE6E0B" w14:textId="77777777" w:rsidR="00973061" w:rsidRP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>(A)</w:t>
            </w:r>
          </w:p>
        </w:tc>
        <w:tc>
          <w:tcPr>
            <w:tcW w:w="3870" w:type="dxa"/>
            <w:gridSpan w:val="2"/>
          </w:tcPr>
          <w:p w14:paraId="7C907395" w14:textId="77777777" w:rsidR="00973061" w:rsidRP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>Kıdem tazminatı çalışana nakledildiği Belediye tarafından ödenir.</w:t>
            </w:r>
          </w:p>
        </w:tc>
      </w:tr>
      <w:tr w:rsidR="00973061" w:rsidRPr="00973061" w14:paraId="3A5B7DB8" w14:textId="77777777" w:rsidTr="00812A8E">
        <w:tc>
          <w:tcPr>
            <w:tcW w:w="1638" w:type="dxa"/>
          </w:tcPr>
          <w:p w14:paraId="76A9A72D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57F52B2" w14:textId="77777777" w:rsidR="00973061" w:rsidRPr="00FB29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945F7D" w14:textId="77777777" w:rsidR="00973061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7201CAC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5F8B94A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1E93EAD" w14:textId="77777777" w:rsidR="00973061" w:rsidRP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>(B)</w:t>
            </w:r>
          </w:p>
        </w:tc>
        <w:tc>
          <w:tcPr>
            <w:tcW w:w="3870" w:type="dxa"/>
            <w:gridSpan w:val="2"/>
          </w:tcPr>
          <w:p w14:paraId="3C1630D0" w14:textId="77777777" w:rsidR="00973061" w:rsidRP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>Kıdem tazminatı ödenirken nakil alan ve nakli veren belediyelerdeki hizmet süreleri dikkate alınır.</w:t>
            </w:r>
          </w:p>
        </w:tc>
      </w:tr>
      <w:tr w:rsidR="00973061" w:rsidRPr="00973061" w14:paraId="1B94300F" w14:textId="77777777" w:rsidTr="00812A8E">
        <w:tc>
          <w:tcPr>
            <w:tcW w:w="1638" w:type="dxa"/>
          </w:tcPr>
          <w:p w14:paraId="62F2D3BC" w14:textId="77777777" w:rsidR="00973061" w:rsidRPr="00703E25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18B1AF9C" w14:textId="77777777" w:rsidR="00973061" w:rsidRPr="00FB29AD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3AAC51E" w14:textId="77777777" w:rsidR="00973061" w:rsidRDefault="00973061" w:rsidP="00812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958FABE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5984C1F" w14:textId="77777777" w:rsid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EAD4044" w14:textId="77777777" w:rsidR="00973061" w:rsidRP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>(C)</w:t>
            </w:r>
          </w:p>
        </w:tc>
        <w:tc>
          <w:tcPr>
            <w:tcW w:w="3870" w:type="dxa"/>
            <w:gridSpan w:val="2"/>
          </w:tcPr>
          <w:p w14:paraId="778745F8" w14:textId="77777777" w:rsidR="00973061" w:rsidRPr="00973061" w:rsidRDefault="00973061" w:rsidP="00812A8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Kıdem tazminatı ödemesinde nakli veren belediye, çalışanın kendi belediyesinde (nakli veren belediye) çalıştığı hizmet süresini hesaplayarak 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ortaya çıkan tazminat miktarını,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nakledilen çalışanın 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>kıdem tazminatını almaya hak kazandığı tarihten itibaren en geç 2 (iki) ay içerisinde nakil alan belediyeye ödemekle yükümlüdür.</w:t>
            </w:r>
          </w:p>
        </w:tc>
      </w:tr>
    </w:tbl>
    <w:p w14:paraId="64B9811E" w14:textId="21D7BBC7" w:rsidR="0043388B" w:rsidRDefault="0043388B"/>
    <w:p w14:paraId="74A5827E" w14:textId="29FC9E21" w:rsidR="00414DB5" w:rsidRDefault="00414DB5"/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60"/>
        <w:gridCol w:w="1710"/>
        <w:gridCol w:w="450"/>
        <w:gridCol w:w="630"/>
        <w:gridCol w:w="630"/>
        <w:gridCol w:w="3870"/>
      </w:tblGrid>
      <w:tr w:rsidR="00A93224" w:rsidRPr="00FB29AD" w14:paraId="4830271A" w14:textId="77777777" w:rsidTr="00275437">
        <w:tc>
          <w:tcPr>
            <w:tcW w:w="1638" w:type="dxa"/>
          </w:tcPr>
          <w:p w14:paraId="5935047D" w14:textId="5A186347" w:rsidR="00A93224" w:rsidRPr="00703E25" w:rsidRDefault="00A93224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61FA2439" w14:textId="77777777" w:rsidR="00A93224" w:rsidRPr="00FB29AD" w:rsidRDefault="00A93224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3CB252" w14:textId="77777777" w:rsid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891D6FF" w14:textId="77777777" w:rsid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4DF1BAFE" w14:textId="77777777" w:rsid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EC5A2A0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>51/1995</w:t>
            </w:r>
          </w:p>
          <w:p w14:paraId="1EFC8F19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33/2001</w:t>
            </w:r>
          </w:p>
          <w:p w14:paraId="5A0A63AF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  2/2003</w:t>
            </w:r>
          </w:p>
          <w:p w14:paraId="5B9F13DA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  9/2006</w:t>
            </w:r>
          </w:p>
          <w:p w14:paraId="00C985E4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40/2007</w:t>
            </w:r>
          </w:p>
          <w:p w14:paraId="4E221A53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14/2008</w:t>
            </w:r>
          </w:p>
          <w:p w14:paraId="0D58B939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  2/2009</w:t>
            </w:r>
          </w:p>
          <w:p w14:paraId="1FC68132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91/2009</w:t>
            </w:r>
          </w:p>
          <w:p w14:paraId="1D572B91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  3/2013</w:t>
            </w:r>
          </w:p>
          <w:p w14:paraId="342F0955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33/2014</w:t>
            </w:r>
          </w:p>
          <w:p w14:paraId="0B85C970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53/2015</w:t>
            </w:r>
          </w:p>
          <w:p w14:paraId="268D9313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21/2017</w:t>
            </w:r>
          </w:p>
          <w:p w14:paraId="204FFB06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  3/2018</w:t>
            </w:r>
          </w:p>
          <w:p w14:paraId="375DD4B8" w14:textId="77777777" w:rsidR="00C6601D" w:rsidRPr="00C6601D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  2/2023</w:t>
            </w:r>
          </w:p>
          <w:p w14:paraId="544C7F5D" w14:textId="25B671E2" w:rsidR="00A93224" w:rsidRDefault="00C6601D" w:rsidP="00C660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01D">
              <w:rPr>
                <w:rFonts w:ascii="Times New Roman" w:eastAsia="Calibri" w:hAnsi="Times New Roman"/>
                <w:sz w:val="24"/>
                <w:szCs w:val="24"/>
              </w:rPr>
              <w:t xml:space="preserve">    44/2023</w:t>
            </w:r>
          </w:p>
        </w:tc>
        <w:tc>
          <w:tcPr>
            <w:tcW w:w="450" w:type="dxa"/>
          </w:tcPr>
          <w:p w14:paraId="15BEF8C4" w14:textId="77777777" w:rsidR="00A93224" w:rsidRDefault="00A93224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A5A32D8" w14:textId="77777777" w:rsidR="00A93224" w:rsidRDefault="00A93224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15D78C9" w14:textId="7D8A6425" w:rsidR="00A93224" w:rsidRPr="00973061" w:rsidRDefault="00A93224" w:rsidP="00A932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>(Ç)</w:t>
            </w:r>
          </w:p>
        </w:tc>
        <w:tc>
          <w:tcPr>
            <w:tcW w:w="3870" w:type="dxa"/>
          </w:tcPr>
          <w:p w14:paraId="09EF9B94" w14:textId="424D102F" w:rsidR="00A93224" w:rsidRPr="00973061" w:rsidRDefault="00414DB5" w:rsidP="00414DB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>Nakledilen çalışanın k</w:t>
            </w:r>
            <w:r w:rsidR="00A93224"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ıdem tazminatının yukarıdaki (C) bendinde belirtilen süre içerisinde </w:t>
            </w:r>
            <w:r w:rsidR="00C6601D" w:rsidRPr="00973061">
              <w:rPr>
                <w:rFonts w:ascii="Times New Roman" w:eastAsia="Calibri" w:hAnsi="Times New Roman"/>
                <w:sz w:val="24"/>
                <w:szCs w:val="24"/>
              </w:rPr>
              <w:t>ödenmemesi halinde bu miktar,</w:t>
            </w:r>
            <w:r w:rsidR="00C6601D" w:rsidRPr="00973061">
              <w:rPr>
                <w:rFonts w:ascii="Times New Roman" w:eastAsia="Calibri" w:hAnsi="Times New Roman" w:cstheme="minorBidi"/>
                <w:sz w:val="24"/>
                <w:szCs w:val="24"/>
              </w:rPr>
              <w:t xml:space="preserve"> </w:t>
            </w:r>
            <w:r w:rsidR="00C6601D" w:rsidRPr="00973061">
              <w:rPr>
                <w:rFonts w:ascii="Times New Roman" w:eastAsia="Calibri" w:hAnsi="Times New Roman"/>
                <w:sz w:val="24"/>
                <w:szCs w:val="24"/>
              </w:rPr>
              <w:t>Belediyeler Yasasının 31’inci maddesinin (2)’nci fıkrasının (B) bendi uyarınca Devlet katkı</w:t>
            </w:r>
            <w:r w:rsidR="00973061">
              <w:rPr>
                <w:rFonts w:ascii="Times New Roman" w:eastAsia="Calibri" w:hAnsi="Times New Roman"/>
                <w:sz w:val="24"/>
                <w:szCs w:val="24"/>
              </w:rPr>
              <w:t>sından kesilir ve nakledildiği b</w:t>
            </w:r>
            <w:r w:rsidR="00C6601D" w:rsidRPr="00973061">
              <w:rPr>
                <w:rFonts w:ascii="Times New Roman" w:eastAsia="Calibri" w:hAnsi="Times New Roman"/>
                <w:sz w:val="24"/>
                <w:szCs w:val="24"/>
              </w:rPr>
              <w:t>elediyeye ödenir.</w:t>
            </w:r>
          </w:p>
        </w:tc>
      </w:tr>
      <w:tr w:rsidR="0043388B" w:rsidRPr="00FB29AD" w14:paraId="59C0B0AB" w14:textId="77777777" w:rsidTr="00EC5174">
        <w:tc>
          <w:tcPr>
            <w:tcW w:w="1638" w:type="dxa"/>
          </w:tcPr>
          <w:p w14:paraId="1F9011B1" w14:textId="77777777" w:rsidR="0043388B" w:rsidRPr="00703E25" w:rsidRDefault="0043388B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750372C3" w14:textId="77777777" w:rsidR="0043388B" w:rsidRPr="00FB29AD" w:rsidRDefault="0043388B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569D46" w14:textId="77777777" w:rsidR="0043388B" w:rsidRPr="00703E25" w:rsidRDefault="0043388B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5DC58C7" w14:textId="77777777" w:rsidR="0043388B" w:rsidRDefault="0043388B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14695AB" w14:textId="684E6F89" w:rsidR="0043388B" w:rsidRDefault="0043388B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(8)</w:t>
            </w:r>
          </w:p>
        </w:tc>
        <w:tc>
          <w:tcPr>
            <w:tcW w:w="4500" w:type="dxa"/>
            <w:gridSpan w:val="2"/>
          </w:tcPr>
          <w:p w14:paraId="6BE8B6FB" w14:textId="78D68318" w:rsidR="0043388B" w:rsidRPr="0043388B" w:rsidRDefault="0043388B" w:rsidP="00983AF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388B">
              <w:rPr>
                <w:rFonts w:ascii="Times New Roman" w:eastAsia="Calibri" w:hAnsi="Times New Roman"/>
                <w:sz w:val="24"/>
                <w:szCs w:val="24"/>
              </w:rPr>
              <w:t>Personelin nakilden önce çalıştığı belediyede mevcut alacakları ve hakları</w:t>
            </w:r>
            <w:r w:rsidR="00960D98">
              <w:rPr>
                <w:rFonts w:ascii="Times New Roman" w:eastAsia="Calibri" w:hAnsi="Times New Roman"/>
                <w:sz w:val="24"/>
                <w:szCs w:val="24"/>
              </w:rPr>
              <w:t xml:space="preserve"> (maaş, özlük v</w:t>
            </w:r>
            <w:r w:rsidR="00983AF1">
              <w:rPr>
                <w:rFonts w:ascii="Times New Roman" w:eastAsia="Calibri" w:hAnsi="Times New Roman"/>
                <w:sz w:val="24"/>
                <w:szCs w:val="24"/>
              </w:rPr>
              <w:t xml:space="preserve">e </w:t>
            </w:r>
            <w:r w:rsidR="00960D98">
              <w:rPr>
                <w:rFonts w:ascii="Times New Roman" w:eastAsia="Calibri" w:hAnsi="Times New Roman"/>
                <w:sz w:val="24"/>
                <w:szCs w:val="24"/>
              </w:rPr>
              <w:t>b</w:t>
            </w:r>
            <w:r w:rsidR="00983AF1">
              <w:rPr>
                <w:rFonts w:ascii="Times New Roman" w:eastAsia="Calibri" w:hAnsi="Times New Roman"/>
                <w:sz w:val="24"/>
                <w:szCs w:val="24"/>
              </w:rPr>
              <w:t>enzeri</w:t>
            </w:r>
            <w:r w:rsidR="00960D98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  <w:r w:rsidRPr="0043388B">
              <w:rPr>
                <w:rFonts w:ascii="Times New Roman" w:eastAsia="Calibri" w:hAnsi="Times New Roman"/>
                <w:sz w:val="24"/>
                <w:szCs w:val="24"/>
              </w:rPr>
              <w:t xml:space="preserve">saklıdır. </w:t>
            </w:r>
          </w:p>
        </w:tc>
      </w:tr>
      <w:tr w:rsidR="0043388B" w:rsidRPr="00FB29AD" w14:paraId="129A0366" w14:textId="77777777" w:rsidTr="00753AEA">
        <w:trPr>
          <w:trHeight w:val="1805"/>
        </w:trPr>
        <w:tc>
          <w:tcPr>
            <w:tcW w:w="1638" w:type="dxa"/>
          </w:tcPr>
          <w:p w14:paraId="31DEC1DD" w14:textId="2E913FEF" w:rsidR="0043388B" w:rsidRPr="00703E25" w:rsidRDefault="00753AEA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360" w:type="dxa"/>
          </w:tcPr>
          <w:p w14:paraId="49C01BB8" w14:textId="77777777" w:rsidR="0043388B" w:rsidRPr="00FB29AD" w:rsidRDefault="0043388B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F432EA" w14:textId="77777777" w:rsidR="0043388B" w:rsidRPr="00703E25" w:rsidRDefault="0043388B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8522960" w14:textId="77777777" w:rsidR="0043388B" w:rsidRDefault="0043388B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0A3711" w14:textId="066F6560" w:rsidR="0043388B" w:rsidRDefault="00983AF1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(9</w:t>
            </w:r>
            <w:r w:rsidR="0043388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4500" w:type="dxa"/>
            <w:gridSpan w:val="2"/>
          </w:tcPr>
          <w:p w14:paraId="19EF764C" w14:textId="25EC428E" w:rsidR="0043388B" w:rsidRPr="00973061" w:rsidRDefault="00EC5174" w:rsidP="006C65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>Nakledilen  personelin nakil öncesi görev yaptığı belediyede mevcut her türlü özlük bilgisi veya dosyası</w:t>
            </w:r>
            <w:r w:rsidR="00753AEA" w:rsidRPr="00973061">
              <w:rPr>
                <w:rFonts w:ascii="Times New Roman" w:eastAsia="Calibri" w:hAnsi="Times New Roman"/>
                <w:sz w:val="24"/>
                <w:szCs w:val="24"/>
              </w:rPr>
              <w:t>, nakledilen  personelin nakil öncesi görev yaptığı belediye</w:t>
            </w:r>
            <w:r w:rsidR="003A6C4E"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 tarafından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 en geç </w:t>
            </w:r>
            <w:r w:rsidR="00753AEA" w:rsidRPr="00973061">
              <w:rPr>
                <w:rFonts w:ascii="Times New Roman" w:eastAsia="Calibri" w:hAnsi="Times New Roman"/>
                <w:sz w:val="24"/>
                <w:szCs w:val="24"/>
              </w:rPr>
              <w:t>15 (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>on beş</w:t>
            </w:r>
            <w:r w:rsidR="00753AEA" w:rsidRPr="00973061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 gün içerisinde </w:t>
            </w:r>
            <w:r w:rsidR="006C65A8" w:rsidRPr="00973061">
              <w:rPr>
                <w:rFonts w:ascii="Times New Roman" w:eastAsia="Calibri" w:hAnsi="Times New Roman"/>
                <w:sz w:val="24"/>
                <w:szCs w:val="24"/>
              </w:rPr>
              <w:t>personelin</w:t>
            </w:r>
            <w:r w:rsidR="009C610A"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 nakledildiği belediyeye</w:t>
            </w:r>
            <w:r w:rsidR="00983AF1" w:rsidRPr="00973061">
              <w:rPr>
                <w:rFonts w:ascii="Times New Roman" w:eastAsia="Calibri" w:hAnsi="Times New Roman"/>
                <w:sz w:val="24"/>
                <w:szCs w:val="24"/>
              </w:rPr>
              <w:t>, belediye onaylı bir sureti</w:t>
            </w:r>
            <w:r w:rsidR="009C610A"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eksizsiz </w:t>
            </w:r>
            <w:r w:rsidR="009C610A"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olarak 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>gönder</w:t>
            </w:r>
            <w:r w:rsidR="00983AF1" w:rsidRPr="00973061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6C65A8" w:rsidRPr="00973061">
              <w:rPr>
                <w:rFonts w:ascii="Times New Roman" w:eastAsia="Calibri" w:hAnsi="Times New Roman"/>
                <w:sz w:val="24"/>
                <w:szCs w:val="24"/>
              </w:rPr>
              <w:t>li</w:t>
            </w:r>
            <w:r w:rsidR="00983AF1" w:rsidRPr="00973061">
              <w:rPr>
                <w:rFonts w:ascii="Times New Roman" w:eastAsia="Calibri" w:hAnsi="Times New Roman"/>
                <w:sz w:val="24"/>
                <w:szCs w:val="24"/>
              </w:rPr>
              <w:t>r.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B75049" w:rsidRPr="00FB29AD" w14:paraId="2AD65621" w14:textId="77777777" w:rsidTr="00B75049">
        <w:trPr>
          <w:trHeight w:val="1085"/>
        </w:trPr>
        <w:tc>
          <w:tcPr>
            <w:tcW w:w="1638" w:type="dxa"/>
          </w:tcPr>
          <w:p w14:paraId="0A7DF569" w14:textId="77777777" w:rsidR="00B75049" w:rsidRDefault="00B75049" w:rsidP="00FB29AD">
            <w:pPr>
              <w:spacing w:after="0" w:line="240" w:lineRule="auto"/>
            </w:pPr>
          </w:p>
        </w:tc>
        <w:tc>
          <w:tcPr>
            <w:tcW w:w="360" w:type="dxa"/>
          </w:tcPr>
          <w:p w14:paraId="1D3C77E4" w14:textId="77777777" w:rsidR="00B75049" w:rsidRPr="00FB29AD" w:rsidRDefault="00B75049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3D028E4" w14:textId="77777777" w:rsidR="00B75049" w:rsidRPr="00703E25" w:rsidRDefault="00B75049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3BD7C1B" w14:textId="77777777" w:rsidR="00B75049" w:rsidRDefault="00B75049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74F0A60" w14:textId="738DD2E2" w:rsidR="00B75049" w:rsidRDefault="00B75049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(10)</w:t>
            </w:r>
          </w:p>
        </w:tc>
        <w:tc>
          <w:tcPr>
            <w:tcW w:w="4500" w:type="dxa"/>
            <w:gridSpan w:val="2"/>
          </w:tcPr>
          <w:p w14:paraId="1E4DD44D" w14:textId="2172AA47" w:rsidR="00B75049" w:rsidRPr="00973061" w:rsidRDefault="00B75049" w:rsidP="006C65A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>Nakledilecek personelin mevcut özlük dosyası nakli veren belediye tarafından Nakil Komisyonuna eksiksiz olarak gö</w:t>
            </w:r>
            <w:r w:rsidR="00973061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>derilir.</w:t>
            </w:r>
          </w:p>
        </w:tc>
      </w:tr>
      <w:tr w:rsidR="00B75049" w:rsidRPr="00FB29AD" w14:paraId="3DFF5A43" w14:textId="77777777" w:rsidTr="00B75049">
        <w:trPr>
          <w:trHeight w:val="1085"/>
        </w:trPr>
        <w:tc>
          <w:tcPr>
            <w:tcW w:w="1638" w:type="dxa"/>
          </w:tcPr>
          <w:p w14:paraId="5FC0421C" w14:textId="77777777" w:rsidR="00B75049" w:rsidRDefault="00B75049" w:rsidP="00FB29AD">
            <w:pPr>
              <w:spacing w:after="0" w:line="240" w:lineRule="auto"/>
            </w:pPr>
          </w:p>
        </w:tc>
        <w:tc>
          <w:tcPr>
            <w:tcW w:w="360" w:type="dxa"/>
          </w:tcPr>
          <w:p w14:paraId="6DB50602" w14:textId="77777777" w:rsidR="00B75049" w:rsidRPr="00FB29AD" w:rsidRDefault="00B75049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4B472C3" w14:textId="77777777" w:rsidR="00B75049" w:rsidRPr="00703E25" w:rsidRDefault="00B75049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9A37C61" w14:textId="77777777" w:rsidR="00B75049" w:rsidRDefault="00B75049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E77166" w14:textId="05BD4EB8" w:rsidR="00B75049" w:rsidRDefault="00B75049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(11)</w:t>
            </w:r>
          </w:p>
        </w:tc>
        <w:tc>
          <w:tcPr>
            <w:tcW w:w="4500" w:type="dxa"/>
            <w:gridSpan w:val="2"/>
          </w:tcPr>
          <w:p w14:paraId="6CF63FED" w14:textId="78D17CBF" w:rsidR="00B75049" w:rsidRPr="00973061" w:rsidRDefault="00FE32B1" w:rsidP="004978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73061">
              <w:rPr>
                <w:rFonts w:ascii="Times New Roman" w:eastAsia="Calibri" w:hAnsi="Times New Roman"/>
                <w:sz w:val="24"/>
                <w:szCs w:val="24"/>
              </w:rPr>
              <w:t>Bu (Değişiklik</w:t>
            </w:r>
            <w:r w:rsidR="007F5633">
              <w:rPr>
                <w:rFonts w:ascii="Times New Roman" w:eastAsia="Calibri" w:hAnsi="Times New Roman"/>
                <w:sz w:val="24"/>
                <w:szCs w:val="24"/>
              </w:rPr>
              <w:t xml:space="preserve"> No:2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>) Yasası tahtında nakledi</w:t>
            </w:r>
            <w:r w:rsidR="00973061">
              <w:rPr>
                <w:rFonts w:ascii="Times New Roman" w:eastAsia="Calibri" w:hAnsi="Times New Roman"/>
                <w:sz w:val="24"/>
                <w:szCs w:val="24"/>
              </w:rPr>
              <w:t>l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>en belediye çalışanlarının giderleri, Belediyeler Yasasının 109’uncu maddesinin (3)’üncü fıkrasının (A) bendinde yer alan yüzdelik hesaplamasında</w:t>
            </w:r>
            <w:r w:rsidR="0049789B"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 dikkate alınmaz.”</w:t>
            </w:r>
            <w:r w:rsidRPr="0097306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FB29AD" w:rsidRPr="00FB29AD" w14:paraId="5E0953AF" w14:textId="77777777" w:rsidTr="00FB29AD">
        <w:tc>
          <w:tcPr>
            <w:tcW w:w="1638" w:type="dxa"/>
          </w:tcPr>
          <w:p w14:paraId="2ED1ED3C" w14:textId="77777777" w:rsidR="00FB29AD" w:rsidRP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4686DDC1" w14:textId="77777777" w:rsidR="00FB29AD" w:rsidRP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F60F7A" w14:textId="77777777" w:rsidR="00FB29AD" w:rsidRP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4"/>
          </w:tcPr>
          <w:p w14:paraId="00BC9769" w14:textId="77777777" w:rsidR="00FB29AD" w:rsidRPr="00FB29AD" w:rsidRDefault="00FB29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B29AD" w:rsidRPr="00FB29AD" w14:paraId="08177076" w14:textId="77777777" w:rsidTr="00FB29AD">
        <w:tc>
          <w:tcPr>
            <w:tcW w:w="1638" w:type="dxa"/>
            <w:hideMark/>
          </w:tcPr>
          <w:p w14:paraId="7261CF63" w14:textId="77777777" w:rsidR="00FB29AD" w:rsidRPr="00FB29AD" w:rsidRDefault="00FB29AD" w:rsidP="00FB29A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B29AD">
              <w:rPr>
                <w:rFonts w:ascii="Times New Roman" w:eastAsia="Calibri" w:hAnsi="Times New Roman"/>
                <w:sz w:val="24"/>
                <w:szCs w:val="24"/>
              </w:rPr>
              <w:t>Yürürlüğe Giriş</w:t>
            </w:r>
          </w:p>
        </w:tc>
        <w:tc>
          <w:tcPr>
            <w:tcW w:w="7650" w:type="dxa"/>
            <w:gridSpan w:val="6"/>
            <w:hideMark/>
          </w:tcPr>
          <w:p w14:paraId="2D5DF1F1" w14:textId="4F3E4038" w:rsidR="00FB29AD" w:rsidRPr="00FB29AD" w:rsidRDefault="00FB29AD" w:rsidP="00FB29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FB29AD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FB29AD">
              <w:rPr>
                <w:rFonts w:ascii="Times New Roman" w:eastAsia="等线" w:hAnsi="Times New Roman"/>
                <w:sz w:val="24"/>
                <w:szCs w:val="24"/>
                <w:lang w:eastAsia="zh-CN"/>
              </w:rPr>
              <w:t>Bu Yasa, Resmi Gazete’de yayımlandığı tarihten başlayarak yürürlüğe girer.</w:t>
            </w:r>
          </w:p>
        </w:tc>
      </w:tr>
    </w:tbl>
    <w:p w14:paraId="71DEFC4C" w14:textId="12033DCC" w:rsidR="00CC2E14" w:rsidRPr="00F42A29" w:rsidRDefault="00CC2E14" w:rsidP="005078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2E14" w:rsidRPr="00F42A29" w:rsidSect="007F4E3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F1D4E" w14:textId="77777777" w:rsidR="004D05D1" w:rsidRDefault="004D05D1" w:rsidP="007F4E3A">
      <w:pPr>
        <w:spacing w:after="0" w:line="240" w:lineRule="auto"/>
      </w:pPr>
      <w:r>
        <w:separator/>
      </w:r>
    </w:p>
  </w:endnote>
  <w:endnote w:type="continuationSeparator" w:id="0">
    <w:p w14:paraId="381B75E0" w14:textId="77777777" w:rsidR="004D05D1" w:rsidRDefault="004D05D1" w:rsidP="007F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Microsoft YaHe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20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77EE7" w14:textId="156C4B49" w:rsidR="00FE32B1" w:rsidRDefault="00FE3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B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410AC" w14:textId="77777777" w:rsidR="00FE32B1" w:rsidRDefault="00FE3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8A1C7" w14:textId="77777777" w:rsidR="004D05D1" w:rsidRDefault="004D05D1" w:rsidP="007F4E3A">
      <w:pPr>
        <w:spacing w:after="0" w:line="240" w:lineRule="auto"/>
      </w:pPr>
      <w:r>
        <w:separator/>
      </w:r>
    </w:p>
  </w:footnote>
  <w:footnote w:type="continuationSeparator" w:id="0">
    <w:p w14:paraId="64B436A7" w14:textId="77777777" w:rsidR="004D05D1" w:rsidRDefault="004D05D1" w:rsidP="007F4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B7"/>
    <w:rsid w:val="00040CE7"/>
    <w:rsid w:val="000825F7"/>
    <w:rsid w:val="000D1444"/>
    <w:rsid w:val="0011612E"/>
    <w:rsid w:val="00141044"/>
    <w:rsid w:val="00144910"/>
    <w:rsid w:val="0014557C"/>
    <w:rsid w:val="00192FC1"/>
    <w:rsid w:val="001A0856"/>
    <w:rsid w:val="001A5E55"/>
    <w:rsid w:val="001F1F57"/>
    <w:rsid w:val="001F6A2F"/>
    <w:rsid w:val="002352B7"/>
    <w:rsid w:val="00244B2B"/>
    <w:rsid w:val="0025187F"/>
    <w:rsid w:val="00275437"/>
    <w:rsid w:val="00277010"/>
    <w:rsid w:val="00286E93"/>
    <w:rsid w:val="0029179E"/>
    <w:rsid w:val="003046FF"/>
    <w:rsid w:val="00310C79"/>
    <w:rsid w:val="00354ED6"/>
    <w:rsid w:val="003A6C4E"/>
    <w:rsid w:val="003C2111"/>
    <w:rsid w:val="003E39D5"/>
    <w:rsid w:val="003E613F"/>
    <w:rsid w:val="00414DB5"/>
    <w:rsid w:val="004275F4"/>
    <w:rsid w:val="0043388B"/>
    <w:rsid w:val="00467FCB"/>
    <w:rsid w:val="00481554"/>
    <w:rsid w:val="0049789B"/>
    <w:rsid w:val="004D05D1"/>
    <w:rsid w:val="004D3CC9"/>
    <w:rsid w:val="004D7F52"/>
    <w:rsid w:val="004F4DFD"/>
    <w:rsid w:val="0050505F"/>
    <w:rsid w:val="00507867"/>
    <w:rsid w:val="00561A27"/>
    <w:rsid w:val="00581FA3"/>
    <w:rsid w:val="005F670A"/>
    <w:rsid w:val="006007E0"/>
    <w:rsid w:val="00615956"/>
    <w:rsid w:val="00653B4B"/>
    <w:rsid w:val="006560FA"/>
    <w:rsid w:val="006964D3"/>
    <w:rsid w:val="006C65A8"/>
    <w:rsid w:val="006F0EF5"/>
    <w:rsid w:val="00703E25"/>
    <w:rsid w:val="00753AEA"/>
    <w:rsid w:val="007F4E3A"/>
    <w:rsid w:val="007F5633"/>
    <w:rsid w:val="008053A7"/>
    <w:rsid w:val="00820A88"/>
    <w:rsid w:val="00821571"/>
    <w:rsid w:val="0082212D"/>
    <w:rsid w:val="00855598"/>
    <w:rsid w:val="00863BF3"/>
    <w:rsid w:val="008A0D3E"/>
    <w:rsid w:val="008B48D7"/>
    <w:rsid w:val="008C62E8"/>
    <w:rsid w:val="009062AD"/>
    <w:rsid w:val="009174A0"/>
    <w:rsid w:val="00927538"/>
    <w:rsid w:val="00960D98"/>
    <w:rsid w:val="00973061"/>
    <w:rsid w:val="009818C2"/>
    <w:rsid w:val="00983AF1"/>
    <w:rsid w:val="009C610A"/>
    <w:rsid w:val="009C7015"/>
    <w:rsid w:val="009F0C5A"/>
    <w:rsid w:val="00A53485"/>
    <w:rsid w:val="00A628F2"/>
    <w:rsid w:val="00A93224"/>
    <w:rsid w:val="00AB43E5"/>
    <w:rsid w:val="00AC6C4A"/>
    <w:rsid w:val="00B55E3B"/>
    <w:rsid w:val="00B74A2D"/>
    <w:rsid w:val="00B75049"/>
    <w:rsid w:val="00BE44E9"/>
    <w:rsid w:val="00C058B9"/>
    <w:rsid w:val="00C476A8"/>
    <w:rsid w:val="00C6601D"/>
    <w:rsid w:val="00C8078D"/>
    <w:rsid w:val="00C82124"/>
    <w:rsid w:val="00CC2E14"/>
    <w:rsid w:val="00CE4EF9"/>
    <w:rsid w:val="00D141F9"/>
    <w:rsid w:val="00D157FE"/>
    <w:rsid w:val="00D57C2B"/>
    <w:rsid w:val="00D716E3"/>
    <w:rsid w:val="00D9155C"/>
    <w:rsid w:val="00DB4370"/>
    <w:rsid w:val="00DD262E"/>
    <w:rsid w:val="00E2002C"/>
    <w:rsid w:val="00E242ED"/>
    <w:rsid w:val="00E50773"/>
    <w:rsid w:val="00E562B4"/>
    <w:rsid w:val="00EC5174"/>
    <w:rsid w:val="00ED6E07"/>
    <w:rsid w:val="00F152AF"/>
    <w:rsid w:val="00F323AC"/>
    <w:rsid w:val="00F42A29"/>
    <w:rsid w:val="00F75E77"/>
    <w:rsid w:val="00FB29AD"/>
    <w:rsid w:val="00FE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8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B7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352B7"/>
    <w:pPr>
      <w:spacing w:after="0" w:line="240" w:lineRule="auto"/>
    </w:pPr>
    <w:rPr>
      <w:rFonts w:eastAsiaTheme="minorEastAsi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2C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eGrid1">
    <w:name w:val="Table Grid1"/>
    <w:basedOn w:val="TableNormal"/>
    <w:next w:val="TableGrid"/>
    <w:uiPriority w:val="39"/>
    <w:qFormat/>
    <w:rsid w:val="00FB2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3A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F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3A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B7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352B7"/>
    <w:pPr>
      <w:spacing w:after="0" w:line="240" w:lineRule="auto"/>
    </w:pPr>
    <w:rPr>
      <w:rFonts w:eastAsiaTheme="minorEastAsia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2C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eGrid1">
    <w:name w:val="Table Grid1"/>
    <w:basedOn w:val="TableNormal"/>
    <w:next w:val="TableGrid"/>
    <w:uiPriority w:val="39"/>
    <w:qFormat/>
    <w:rsid w:val="00FB29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E3A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7F4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E3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Yılmaz</dc:creator>
  <cp:lastModifiedBy>Tahir Temizel</cp:lastModifiedBy>
  <cp:revision>2</cp:revision>
  <cp:lastPrinted>2023-07-24T08:37:00Z</cp:lastPrinted>
  <dcterms:created xsi:type="dcterms:W3CDTF">2023-11-16T08:14:00Z</dcterms:created>
  <dcterms:modified xsi:type="dcterms:W3CDTF">2023-11-16T08:14:00Z</dcterms:modified>
</cp:coreProperties>
</file>