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DF" w:rsidRPr="00AD19DF" w:rsidRDefault="00AD19DF" w:rsidP="00AD19DF">
      <w:pPr>
        <w:jc w:val="both"/>
        <w:rPr>
          <w:lang w:eastAsia="tr-TR"/>
        </w:rPr>
      </w:pPr>
      <w:proofErr w:type="spellStart"/>
      <w:r w:rsidRPr="00AD19DF">
        <w:rPr>
          <w:lang w:eastAsia="tr-TR"/>
        </w:rPr>
        <w:t>Kuzey</w:t>
      </w:r>
      <w:proofErr w:type="spellEnd"/>
      <w:r w:rsidRPr="00AD19DF">
        <w:rPr>
          <w:lang w:eastAsia="tr-TR"/>
        </w:rPr>
        <w:t xml:space="preserve"> </w:t>
      </w:r>
      <w:proofErr w:type="spellStart"/>
      <w:r w:rsidRPr="00AD19DF">
        <w:rPr>
          <w:lang w:eastAsia="tr-TR"/>
        </w:rPr>
        <w:t>Kıbrıs</w:t>
      </w:r>
      <w:proofErr w:type="spellEnd"/>
      <w:r w:rsidRPr="00AD19DF">
        <w:rPr>
          <w:lang w:eastAsia="tr-TR"/>
        </w:rPr>
        <w:t xml:space="preserve"> </w:t>
      </w:r>
      <w:proofErr w:type="spellStart"/>
      <w:r w:rsidRPr="00AD19DF">
        <w:rPr>
          <w:lang w:eastAsia="tr-TR"/>
        </w:rPr>
        <w:t>Türk</w:t>
      </w:r>
      <w:proofErr w:type="spellEnd"/>
      <w:r w:rsidRPr="00AD19DF">
        <w:rPr>
          <w:lang w:eastAsia="tr-TR"/>
        </w:rPr>
        <w:t xml:space="preserve"> </w:t>
      </w:r>
      <w:proofErr w:type="spellStart"/>
      <w:r w:rsidRPr="00AD19DF">
        <w:rPr>
          <w:lang w:eastAsia="tr-TR"/>
        </w:rPr>
        <w:t>Cumh</w:t>
      </w:r>
      <w:r w:rsidRPr="00AD19DF">
        <w:rPr>
          <w:lang w:eastAsia="tr-TR"/>
        </w:rPr>
        <w:t>uriyeti</w:t>
      </w:r>
      <w:proofErr w:type="spellEnd"/>
      <w:r w:rsidRPr="00AD19DF">
        <w:rPr>
          <w:lang w:eastAsia="tr-TR"/>
        </w:rPr>
        <w:t xml:space="preserve"> </w:t>
      </w:r>
      <w:proofErr w:type="spellStart"/>
      <w:r w:rsidRPr="00AD19DF">
        <w:rPr>
          <w:lang w:eastAsia="tr-TR"/>
        </w:rPr>
        <w:t>Cumhuriyet</w:t>
      </w:r>
      <w:proofErr w:type="spellEnd"/>
      <w:r w:rsidRPr="00AD19DF">
        <w:rPr>
          <w:lang w:eastAsia="tr-TR"/>
        </w:rPr>
        <w:t xml:space="preserve"> </w:t>
      </w:r>
      <w:proofErr w:type="spellStart"/>
      <w:r w:rsidRPr="00AD19DF">
        <w:rPr>
          <w:lang w:eastAsia="tr-TR"/>
        </w:rPr>
        <w:t>Meclisi’nin</w:t>
      </w:r>
      <w:proofErr w:type="spellEnd"/>
      <w:r w:rsidRPr="00AD19DF">
        <w:rPr>
          <w:lang w:eastAsia="tr-TR"/>
        </w:rPr>
        <w:t xml:space="preserve"> 17</w:t>
      </w:r>
      <w:r w:rsidRPr="00AD19DF">
        <w:rPr>
          <w:lang w:eastAsia="tr-TR"/>
        </w:rPr>
        <w:t xml:space="preserve"> </w:t>
      </w:r>
      <w:proofErr w:type="spellStart"/>
      <w:r w:rsidRPr="00AD19DF">
        <w:rPr>
          <w:lang w:eastAsia="tr-TR"/>
        </w:rPr>
        <w:t>Ekim</w:t>
      </w:r>
      <w:proofErr w:type="spellEnd"/>
      <w:r w:rsidRPr="00AD19DF">
        <w:rPr>
          <w:lang w:eastAsia="tr-TR"/>
        </w:rPr>
        <w:t xml:space="preserve"> 2023 </w:t>
      </w:r>
      <w:proofErr w:type="spellStart"/>
      <w:r w:rsidRPr="00AD19DF">
        <w:rPr>
          <w:lang w:eastAsia="tr-TR"/>
        </w:rPr>
        <w:t>tarihli</w:t>
      </w:r>
      <w:proofErr w:type="spellEnd"/>
      <w:r w:rsidRPr="00AD19DF">
        <w:rPr>
          <w:lang w:eastAsia="tr-TR"/>
        </w:rPr>
        <w:t xml:space="preserve"> </w:t>
      </w:r>
      <w:proofErr w:type="spellStart"/>
      <w:r w:rsidRPr="00AD19DF">
        <w:rPr>
          <w:lang w:eastAsia="tr-TR"/>
        </w:rPr>
        <w:t>Beşinci</w:t>
      </w:r>
      <w:proofErr w:type="spellEnd"/>
      <w:r w:rsidRPr="00AD19DF">
        <w:rPr>
          <w:lang w:eastAsia="tr-TR"/>
        </w:rPr>
        <w:t xml:space="preserve"> </w:t>
      </w:r>
      <w:proofErr w:type="spellStart"/>
      <w:r w:rsidRPr="00AD19DF">
        <w:rPr>
          <w:lang w:eastAsia="tr-TR"/>
        </w:rPr>
        <w:t>Birleşiminde</w:t>
      </w:r>
      <w:proofErr w:type="spellEnd"/>
      <w:r w:rsidRPr="00AD19DF">
        <w:rPr>
          <w:lang w:eastAsia="tr-TR"/>
        </w:rPr>
        <w:t xml:space="preserve"> </w:t>
      </w:r>
      <w:proofErr w:type="spellStart"/>
      <w:r w:rsidRPr="00AD19DF">
        <w:rPr>
          <w:lang w:eastAsia="tr-TR"/>
        </w:rPr>
        <w:t>Oybirliğiyle</w:t>
      </w:r>
      <w:proofErr w:type="spellEnd"/>
      <w:r w:rsidRPr="00AD19DF">
        <w:rPr>
          <w:lang w:eastAsia="tr-TR"/>
        </w:rPr>
        <w:t xml:space="preserve"> </w:t>
      </w:r>
      <w:proofErr w:type="spellStart"/>
      <w:r w:rsidRPr="00AD19DF">
        <w:rPr>
          <w:lang w:eastAsia="tr-TR"/>
        </w:rPr>
        <w:t>kabul</w:t>
      </w:r>
      <w:proofErr w:type="spellEnd"/>
      <w:r w:rsidRPr="00AD19DF">
        <w:rPr>
          <w:lang w:eastAsia="tr-TR"/>
        </w:rPr>
        <w:t xml:space="preserve"> </w:t>
      </w:r>
      <w:proofErr w:type="spellStart"/>
      <w:r w:rsidRPr="00AD19DF">
        <w:rPr>
          <w:lang w:eastAsia="tr-TR"/>
        </w:rPr>
        <w:t>olunan</w:t>
      </w:r>
      <w:proofErr w:type="spellEnd"/>
      <w:r w:rsidRPr="00AD19DF">
        <w:rPr>
          <w:lang w:eastAsia="tr-TR"/>
        </w:rPr>
        <w:t xml:space="preserve"> “</w:t>
      </w:r>
      <w:r w:rsidRPr="00AD19DF">
        <w:rPr>
          <w:lang w:val="tr-TR"/>
        </w:rPr>
        <w:t>Kredi Kartı ve Banka Kartı ile Yapılan Perakende Mal ve Hizmet Alımlarına İade Yapılması  (Değişiklik) Yasası</w:t>
      </w:r>
      <w:r w:rsidRPr="00AD19DF">
        <w:rPr>
          <w:lang w:eastAsia="tr-TR"/>
        </w:rPr>
        <w:t xml:space="preserve">” </w:t>
      </w:r>
      <w:proofErr w:type="spellStart"/>
      <w:r w:rsidRPr="00AD19DF">
        <w:rPr>
          <w:lang w:eastAsia="tr-TR"/>
        </w:rPr>
        <w:t>Anayasanın</w:t>
      </w:r>
      <w:proofErr w:type="spellEnd"/>
      <w:r w:rsidRPr="00AD19DF">
        <w:rPr>
          <w:lang w:eastAsia="tr-TR"/>
        </w:rPr>
        <w:t xml:space="preserve"> 94'üncü </w:t>
      </w:r>
      <w:proofErr w:type="spellStart"/>
      <w:r w:rsidRPr="00AD19DF">
        <w:rPr>
          <w:lang w:eastAsia="tr-TR"/>
        </w:rPr>
        <w:t>maddesinin</w:t>
      </w:r>
      <w:proofErr w:type="spellEnd"/>
      <w:r w:rsidRPr="00AD19DF">
        <w:rPr>
          <w:lang w:eastAsia="tr-TR"/>
        </w:rPr>
        <w:t xml:space="preserve"> (1)'</w:t>
      </w:r>
      <w:proofErr w:type="spellStart"/>
      <w:r w:rsidRPr="00AD19DF">
        <w:rPr>
          <w:lang w:eastAsia="tr-TR"/>
        </w:rPr>
        <w:t>inci</w:t>
      </w:r>
      <w:proofErr w:type="spellEnd"/>
      <w:r w:rsidRPr="00AD19DF">
        <w:rPr>
          <w:lang w:eastAsia="tr-TR"/>
        </w:rPr>
        <w:t xml:space="preserve"> </w:t>
      </w:r>
      <w:proofErr w:type="spellStart"/>
      <w:r w:rsidRPr="00AD19DF">
        <w:rPr>
          <w:lang w:eastAsia="tr-TR"/>
        </w:rPr>
        <w:t>fıkrası</w:t>
      </w:r>
      <w:proofErr w:type="spellEnd"/>
      <w:r w:rsidRPr="00AD19DF">
        <w:rPr>
          <w:lang w:eastAsia="tr-TR"/>
        </w:rPr>
        <w:t xml:space="preserve"> </w:t>
      </w:r>
      <w:proofErr w:type="spellStart"/>
      <w:r w:rsidRPr="00AD19DF">
        <w:rPr>
          <w:lang w:eastAsia="tr-TR"/>
        </w:rPr>
        <w:t>gereğince</w:t>
      </w:r>
      <w:proofErr w:type="spellEnd"/>
      <w:r w:rsidRPr="00AD19DF">
        <w:rPr>
          <w:lang w:eastAsia="tr-TR"/>
        </w:rPr>
        <w:t xml:space="preserve"> </w:t>
      </w:r>
      <w:proofErr w:type="spellStart"/>
      <w:r w:rsidRPr="00AD19DF">
        <w:rPr>
          <w:lang w:eastAsia="tr-TR"/>
        </w:rPr>
        <w:t>Kuzey</w:t>
      </w:r>
      <w:proofErr w:type="spellEnd"/>
      <w:r w:rsidRPr="00AD19DF">
        <w:rPr>
          <w:lang w:eastAsia="tr-TR"/>
        </w:rPr>
        <w:t xml:space="preserve"> </w:t>
      </w:r>
      <w:bookmarkStart w:id="0" w:name="_GoBack"/>
      <w:bookmarkEnd w:id="0"/>
      <w:proofErr w:type="spellStart"/>
      <w:r w:rsidRPr="00AD19DF">
        <w:rPr>
          <w:lang w:eastAsia="tr-TR"/>
        </w:rPr>
        <w:t>Kıbrıs</w:t>
      </w:r>
      <w:proofErr w:type="spellEnd"/>
      <w:r w:rsidRPr="00AD19DF">
        <w:rPr>
          <w:lang w:eastAsia="tr-TR"/>
        </w:rPr>
        <w:t xml:space="preserve"> </w:t>
      </w:r>
      <w:proofErr w:type="spellStart"/>
      <w:r w:rsidRPr="00AD19DF">
        <w:rPr>
          <w:lang w:eastAsia="tr-TR"/>
        </w:rPr>
        <w:t>Türk</w:t>
      </w:r>
      <w:proofErr w:type="spellEnd"/>
      <w:r w:rsidRPr="00AD19DF">
        <w:rPr>
          <w:lang w:eastAsia="tr-TR"/>
        </w:rPr>
        <w:t xml:space="preserve"> </w:t>
      </w:r>
      <w:proofErr w:type="spellStart"/>
      <w:r w:rsidRPr="00AD19DF">
        <w:rPr>
          <w:lang w:eastAsia="tr-TR"/>
        </w:rPr>
        <w:t>Cumhuriyeti</w:t>
      </w:r>
      <w:proofErr w:type="spellEnd"/>
      <w:r w:rsidRPr="00AD19DF">
        <w:rPr>
          <w:lang w:eastAsia="tr-TR"/>
        </w:rPr>
        <w:t xml:space="preserve"> </w:t>
      </w:r>
      <w:proofErr w:type="spellStart"/>
      <w:r w:rsidRPr="00AD19DF">
        <w:rPr>
          <w:lang w:eastAsia="tr-TR"/>
        </w:rPr>
        <w:t>Cumhurbaşkanı</w:t>
      </w:r>
      <w:proofErr w:type="spellEnd"/>
      <w:r w:rsidRPr="00AD19DF">
        <w:rPr>
          <w:lang w:eastAsia="tr-TR"/>
        </w:rPr>
        <w:t xml:space="preserve"> </w:t>
      </w:r>
      <w:proofErr w:type="spellStart"/>
      <w:r w:rsidRPr="00AD19DF">
        <w:rPr>
          <w:lang w:eastAsia="tr-TR"/>
        </w:rPr>
        <w:t>tarafından</w:t>
      </w:r>
      <w:proofErr w:type="spellEnd"/>
      <w:r w:rsidRPr="00AD19DF">
        <w:rPr>
          <w:lang w:eastAsia="tr-TR"/>
        </w:rPr>
        <w:t xml:space="preserve"> </w:t>
      </w:r>
      <w:proofErr w:type="spellStart"/>
      <w:r w:rsidRPr="00AD19DF">
        <w:rPr>
          <w:lang w:eastAsia="tr-TR"/>
        </w:rPr>
        <w:t>Resmi</w:t>
      </w:r>
      <w:proofErr w:type="spellEnd"/>
      <w:r w:rsidRPr="00AD19DF">
        <w:rPr>
          <w:lang w:eastAsia="tr-TR"/>
        </w:rPr>
        <w:t xml:space="preserve"> </w:t>
      </w:r>
      <w:proofErr w:type="spellStart"/>
      <w:r w:rsidRPr="00AD19DF">
        <w:rPr>
          <w:lang w:eastAsia="tr-TR"/>
        </w:rPr>
        <w:t>Gazete'de</w:t>
      </w:r>
      <w:proofErr w:type="spellEnd"/>
      <w:r w:rsidRPr="00AD19DF">
        <w:rPr>
          <w:lang w:eastAsia="tr-TR"/>
        </w:rPr>
        <w:t xml:space="preserve"> </w:t>
      </w:r>
      <w:proofErr w:type="spellStart"/>
      <w:r w:rsidRPr="00AD19DF">
        <w:rPr>
          <w:lang w:eastAsia="tr-TR"/>
        </w:rPr>
        <w:t>yayımlanmak</w:t>
      </w:r>
      <w:proofErr w:type="spellEnd"/>
      <w:r w:rsidRPr="00AD19DF">
        <w:rPr>
          <w:lang w:eastAsia="tr-TR"/>
        </w:rPr>
        <w:t xml:space="preserve"> </w:t>
      </w:r>
      <w:proofErr w:type="spellStart"/>
      <w:r w:rsidRPr="00AD19DF">
        <w:rPr>
          <w:lang w:eastAsia="tr-TR"/>
        </w:rPr>
        <w:t>suretiyle</w:t>
      </w:r>
      <w:proofErr w:type="spellEnd"/>
      <w:r w:rsidRPr="00AD19DF">
        <w:rPr>
          <w:lang w:eastAsia="tr-TR"/>
        </w:rPr>
        <w:t xml:space="preserve"> </w:t>
      </w:r>
      <w:proofErr w:type="spellStart"/>
      <w:r w:rsidRPr="00AD19DF">
        <w:rPr>
          <w:lang w:eastAsia="tr-TR"/>
        </w:rPr>
        <w:t>ilan</w:t>
      </w:r>
      <w:proofErr w:type="spellEnd"/>
      <w:r w:rsidRPr="00AD19DF">
        <w:rPr>
          <w:lang w:eastAsia="tr-TR"/>
        </w:rPr>
        <w:t xml:space="preserve"> </w:t>
      </w:r>
      <w:proofErr w:type="spellStart"/>
      <w:r w:rsidRPr="00AD19DF">
        <w:rPr>
          <w:lang w:eastAsia="tr-TR"/>
        </w:rPr>
        <w:t>olunur</w:t>
      </w:r>
      <w:proofErr w:type="spellEnd"/>
      <w:r w:rsidRPr="00AD19DF">
        <w:rPr>
          <w:lang w:eastAsia="tr-TR"/>
        </w:rPr>
        <w:t>.</w:t>
      </w:r>
    </w:p>
    <w:p w:rsidR="00AD19DF" w:rsidRPr="00AD19DF" w:rsidRDefault="00AD19DF" w:rsidP="00AD19DF">
      <w:pPr>
        <w:ind w:firstLine="708"/>
        <w:jc w:val="both"/>
        <w:rPr>
          <w:lang w:eastAsia="tr-TR"/>
        </w:rPr>
      </w:pPr>
    </w:p>
    <w:p w:rsidR="00AD19DF" w:rsidRPr="00AD19DF" w:rsidRDefault="00AD19DF" w:rsidP="00AD19DF">
      <w:pPr>
        <w:ind w:firstLine="708"/>
        <w:jc w:val="both"/>
        <w:rPr>
          <w:lang w:eastAsia="tr-TR"/>
        </w:rPr>
      </w:pPr>
    </w:p>
    <w:p w:rsidR="00AD19DF" w:rsidRPr="00AD19DF" w:rsidRDefault="00AD19DF" w:rsidP="00AD19DF">
      <w:pPr>
        <w:ind w:firstLine="708"/>
        <w:jc w:val="center"/>
        <w:rPr>
          <w:lang w:eastAsia="tr-TR"/>
        </w:rPr>
      </w:pPr>
      <w:proofErr w:type="spellStart"/>
      <w:r w:rsidRPr="00AD19DF">
        <w:rPr>
          <w:lang w:eastAsia="tr-TR"/>
        </w:rPr>
        <w:t>Sayı</w:t>
      </w:r>
      <w:proofErr w:type="spellEnd"/>
      <w:r w:rsidRPr="00AD19DF">
        <w:rPr>
          <w:lang w:eastAsia="tr-TR"/>
        </w:rPr>
        <w:t>: 56</w:t>
      </w:r>
      <w:r w:rsidRPr="00AD19DF">
        <w:rPr>
          <w:lang w:eastAsia="tr-TR"/>
        </w:rPr>
        <w:t>/2023</w:t>
      </w:r>
    </w:p>
    <w:p w:rsidR="000441D4" w:rsidRDefault="000441D4">
      <w:pPr>
        <w:rPr>
          <w:lang w:val="tr-TR"/>
        </w:rPr>
      </w:pPr>
    </w:p>
    <w:p w:rsidR="000441D4" w:rsidRDefault="000441D4">
      <w:pPr>
        <w:rPr>
          <w:lang w:val="tr-TR"/>
        </w:rPr>
      </w:pPr>
    </w:p>
    <w:tbl>
      <w:tblPr>
        <w:tblW w:w="9999" w:type="dxa"/>
        <w:tblInd w:w="-252" w:type="dxa"/>
        <w:tblLayout w:type="fixed"/>
        <w:tblLook w:val="0000" w:firstRow="0" w:lastRow="0" w:firstColumn="0" w:lastColumn="0" w:noHBand="0" w:noVBand="0"/>
      </w:tblPr>
      <w:tblGrid>
        <w:gridCol w:w="1778"/>
        <w:gridCol w:w="567"/>
        <w:gridCol w:w="709"/>
        <w:gridCol w:w="708"/>
        <w:gridCol w:w="6237"/>
      </w:tblGrid>
      <w:tr w:rsidR="00393B0D" w:rsidRPr="006A4B2C" w:rsidTr="00D62F28">
        <w:tc>
          <w:tcPr>
            <w:tcW w:w="9999" w:type="dxa"/>
            <w:gridSpan w:val="5"/>
          </w:tcPr>
          <w:p w:rsidR="00393B0D" w:rsidRPr="00854379" w:rsidRDefault="00393B0D" w:rsidP="007377C8">
            <w:pPr>
              <w:ind w:left="90"/>
              <w:jc w:val="center"/>
              <w:rPr>
                <w:lang w:val="tr-TR"/>
              </w:rPr>
            </w:pPr>
            <w:r w:rsidRPr="00854379">
              <w:rPr>
                <w:bCs/>
                <w:lang w:val="tr-TR"/>
              </w:rPr>
              <w:t xml:space="preserve">KREDİ KARTI VE BANKA KARTI İLE YAPILAN PERAKENDE MAL VE HİZMET ALIMLARINA İADE YAPILMASI </w:t>
            </w:r>
            <w:r w:rsidR="003359AD" w:rsidRPr="00854379">
              <w:rPr>
                <w:bCs/>
                <w:lang w:val="tr-TR"/>
              </w:rPr>
              <w:t xml:space="preserve">(DEĞİŞİKLİK) </w:t>
            </w:r>
            <w:r w:rsidR="00E605D5">
              <w:rPr>
                <w:bCs/>
                <w:lang w:val="tr-TR"/>
              </w:rPr>
              <w:t>YASA</w:t>
            </w:r>
            <w:r w:rsidRPr="00854379">
              <w:rPr>
                <w:bCs/>
                <w:lang w:val="tr-TR"/>
              </w:rPr>
              <w:t>SI</w:t>
            </w:r>
          </w:p>
          <w:p w:rsidR="000E2E40" w:rsidRPr="006A4B2C" w:rsidRDefault="000E2E40" w:rsidP="00420677">
            <w:pPr>
              <w:ind w:left="90"/>
              <w:jc w:val="center"/>
              <w:rPr>
                <w:lang w:val="tr-TR"/>
              </w:rPr>
            </w:pPr>
          </w:p>
        </w:tc>
      </w:tr>
      <w:tr w:rsidR="00D62F28" w:rsidRPr="006A4B2C" w:rsidTr="00D62F28">
        <w:tc>
          <w:tcPr>
            <w:tcW w:w="1778" w:type="dxa"/>
          </w:tcPr>
          <w:p w:rsidR="00D62F28" w:rsidRPr="006A4B2C" w:rsidRDefault="00D62F28" w:rsidP="00D62F28">
            <w:pPr>
              <w:ind w:left="90"/>
              <w:rPr>
                <w:lang w:val="tr-TR"/>
              </w:rPr>
            </w:pPr>
            <w:r w:rsidRPr="006A4B2C">
              <w:rPr>
                <w:sz w:val="22"/>
                <w:szCs w:val="22"/>
                <w:lang w:val="tr-TR"/>
              </w:rPr>
              <w:tab/>
            </w:r>
          </w:p>
        </w:tc>
        <w:tc>
          <w:tcPr>
            <w:tcW w:w="8221" w:type="dxa"/>
            <w:gridSpan w:val="4"/>
          </w:tcPr>
          <w:p w:rsidR="00D62F28" w:rsidRPr="007377C8" w:rsidRDefault="007377C8" w:rsidP="007377C8">
            <w:pPr>
              <w:jc w:val="both"/>
              <w:rPr>
                <w:lang w:val="tr-TR"/>
              </w:rPr>
            </w:pPr>
            <w:r w:rsidRPr="007377C8">
              <w:rPr>
                <w:lang w:val="tr-TR"/>
              </w:rPr>
              <w:t xml:space="preserve">          </w:t>
            </w:r>
            <w:r w:rsidR="00D62F28" w:rsidRPr="007377C8">
              <w:rPr>
                <w:lang w:val="tr-TR"/>
              </w:rPr>
              <w:t>Kuzey Kıbrıs Türk Cumhuriyeti Cumhuriyet Meclisi aşağıdaki Yasayı yapar:</w:t>
            </w:r>
          </w:p>
        </w:tc>
      </w:tr>
      <w:tr w:rsidR="0092372F" w:rsidRPr="006A4B2C" w:rsidTr="00D62F28">
        <w:tc>
          <w:tcPr>
            <w:tcW w:w="1778" w:type="dxa"/>
          </w:tcPr>
          <w:p w:rsidR="0092372F" w:rsidRPr="006A4B2C" w:rsidRDefault="0092372F" w:rsidP="00D62F28">
            <w:pPr>
              <w:ind w:left="90"/>
              <w:rPr>
                <w:sz w:val="22"/>
                <w:szCs w:val="22"/>
                <w:lang w:val="tr-TR"/>
              </w:rPr>
            </w:pPr>
          </w:p>
        </w:tc>
        <w:tc>
          <w:tcPr>
            <w:tcW w:w="8221" w:type="dxa"/>
            <w:gridSpan w:val="4"/>
          </w:tcPr>
          <w:p w:rsidR="0092372F" w:rsidRPr="007377C8" w:rsidRDefault="0092372F" w:rsidP="007377C8">
            <w:pPr>
              <w:jc w:val="both"/>
              <w:rPr>
                <w:lang w:val="tr-TR"/>
              </w:rPr>
            </w:pPr>
          </w:p>
        </w:tc>
      </w:tr>
      <w:tr w:rsidR="007377C8" w:rsidRPr="006A4B2C" w:rsidTr="00934D7E">
        <w:tc>
          <w:tcPr>
            <w:tcW w:w="1778" w:type="dxa"/>
          </w:tcPr>
          <w:p w:rsidR="007377C8" w:rsidRPr="007377C8" w:rsidRDefault="007377C8" w:rsidP="00D62F28">
            <w:pPr>
              <w:ind w:right="-114"/>
              <w:rPr>
                <w:lang w:val="tr-TR"/>
              </w:rPr>
            </w:pPr>
            <w:r w:rsidRPr="007377C8">
              <w:rPr>
                <w:lang w:val="tr-TR"/>
              </w:rPr>
              <w:t>Kısa İsim</w:t>
            </w:r>
          </w:p>
          <w:p w:rsidR="007377C8" w:rsidRPr="007377C8" w:rsidRDefault="007377C8" w:rsidP="00D62F28">
            <w:pPr>
              <w:ind w:right="-114"/>
              <w:rPr>
                <w:lang w:val="tr-TR"/>
              </w:rPr>
            </w:pPr>
            <w:r w:rsidRPr="007377C8">
              <w:rPr>
                <w:lang w:val="tr-TR"/>
              </w:rPr>
              <w:t>33/2019</w:t>
            </w:r>
          </w:p>
        </w:tc>
        <w:tc>
          <w:tcPr>
            <w:tcW w:w="8221" w:type="dxa"/>
            <w:gridSpan w:val="4"/>
          </w:tcPr>
          <w:p w:rsidR="007377C8" w:rsidRPr="007377C8" w:rsidRDefault="007377C8" w:rsidP="007377C8">
            <w:pPr>
              <w:jc w:val="both"/>
              <w:rPr>
                <w:lang w:val="tr-TR"/>
              </w:rPr>
            </w:pPr>
            <w:r w:rsidRPr="007377C8">
              <w:rPr>
                <w:lang w:val="tr-TR"/>
              </w:rPr>
              <w:t>1. Bu Yasa, Kredi Kartı ve Banka Kartı ile Yapılan Perakende Mal ve Hizmet Alımlarına İade Yapılması  (Değişiklik) Yasası olarak isimlendirilir ve aşağıda “Esas Yasa” olarak anılan Kredi Kartı ve Banka Kartı ile Yapılan Perakende Mal ve Hizmet Alımlarına İade Yapılması Yasası ile birlikte okunur.</w:t>
            </w:r>
          </w:p>
        </w:tc>
      </w:tr>
      <w:tr w:rsidR="007377C8" w:rsidRPr="006A4B2C" w:rsidTr="00CD3981">
        <w:tc>
          <w:tcPr>
            <w:tcW w:w="9999" w:type="dxa"/>
            <w:gridSpan w:val="5"/>
          </w:tcPr>
          <w:p w:rsidR="007377C8" w:rsidRPr="007377C8" w:rsidRDefault="007377C8" w:rsidP="00420677">
            <w:pPr>
              <w:ind w:left="90"/>
              <w:jc w:val="both"/>
              <w:rPr>
                <w:lang w:val="tr-TR"/>
              </w:rPr>
            </w:pPr>
          </w:p>
        </w:tc>
      </w:tr>
      <w:tr w:rsidR="007377C8" w:rsidRPr="006A4B2C" w:rsidTr="00F0065F">
        <w:tc>
          <w:tcPr>
            <w:tcW w:w="1778" w:type="dxa"/>
          </w:tcPr>
          <w:p w:rsidR="007377C8" w:rsidRPr="007377C8" w:rsidRDefault="007377C8" w:rsidP="001A4A6C">
            <w:pPr>
              <w:ind w:right="-114"/>
              <w:rPr>
                <w:lang w:val="tr-TR"/>
              </w:rPr>
            </w:pPr>
            <w:r w:rsidRPr="007377C8">
              <w:rPr>
                <w:lang w:val="tr-TR"/>
              </w:rPr>
              <w:t xml:space="preserve">Esas Yasanın 6’ncı Maddesinin </w:t>
            </w:r>
          </w:p>
        </w:tc>
        <w:tc>
          <w:tcPr>
            <w:tcW w:w="8221" w:type="dxa"/>
            <w:gridSpan w:val="4"/>
          </w:tcPr>
          <w:p w:rsidR="007377C8" w:rsidRPr="007377C8" w:rsidRDefault="007377C8" w:rsidP="0092372F">
            <w:pPr>
              <w:jc w:val="both"/>
              <w:rPr>
                <w:lang w:val="tr-TR"/>
              </w:rPr>
            </w:pPr>
            <w:r w:rsidRPr="007377C8">
              <w:rPr>
                <w:lang w:val="tr-TR"/>
              </w:rPr>
              <w:t>2. Esas Yasa,  6’ncı maddesi kaldırılmak ve yerine a</w:t>
            </w:r>
            <w:r w:rsidR="00B4158C">
              <w:rPr>
                <w:lang w:val="tr-TR"/>
              </w:rPr>
              <w:t xml:space="preserve">şağıdaki yeni 6’ncı madde </w:t>
            </w:r>
            <w:r w:rsidR="0092372F">
              <w:rPr>
                <w:lang w:val="tr-TR"/>
              </w:rPr>
              <w:t xml:space="preserve">konmak </w:t>
            </w:r>
            <w:r w:rsidRPr="007377C8">
              <w:rPr>
                <w:lang w:val="tr-TR"/>
              </w:rPr>
              <w:t>suretiyle değiştirilir:</w:t>
            </w:r>
          </w:p>
        </w:tc>
      </w:tr>
      <w:tr w:rsidR="007377C8" w:rsidRPr="006A4B2C" w:rsidTr="001A4A6C">
        <w:tc>
          <w:tcPr>
            <w:tcW w:w="1778" w:type="dxa"/>
          </w:tcPr>
          <w:p w:rsidR="007377C8" w:rsidRPr="007377C8" w:rsidRDefault="001A4A6C" w:rsidP="001A4A6C">
            <w:pPr>
              <w:ind w:right="-114"/>
              <w:rPr>
                <w:lang w:val="tr-TR"/>
              </w:rPr>
            </w:pPr>
            <w:r w:rsidRPr="001A4A6C">
              <w:rPr>
                <w:lang w:val="tr-TR"/>
              </w:rPr>
              <w:t>Değiştirilmesi</w:t>
            </w:r>
          </w:p>
        </w:tc>
        <w:tc>
          <w:tcPr>
            <w:tcW w:w="567" w:type="dxa"/>
          </w:tcPr>
          <w:p w:rsidR="007377C8" w:rsidRPr="007377C8" w:rsidRDefault="007377C8" w:rsidP="00420677">
            <w:pPr>
              <w:ind w:left="90"/>
              <w:jc w:val="center"/>
              <w:rPr>
                <w:lang w:val="tr-TR"/>
              </w:rPr>
            </w:pPr>
          </w:p>
        </w:tc>
        <w:tc>
          <w:tcPr>
            <w:tcW w:w="1417" w:type="dxa"/>
            <w:gridSpan w:val="2"/>
          </w:tcPr>
          <w:p w:rsidR="007377C8" w:rsidRPr="007377C8" w:rsidRDefault="007377C8" w:rsidP="007377C8">
            <w:pPr>
              <w:rPr>
                <w:lang w:val="tr-TR"/>
              </w:rPr>
            </w:pPr>
            <w:r w:rsidRPr="007377C8">
              <w:rPr>
                <w:lang w:val="tr-TR"/>
              </w:rPr>
              <w:t>“İadeye Esas Alınacak Harcama Miktarı</w:t>
            </w:r>
          </w:p>
        </w:tc>
        <w:tc>
          <w:tcPr>
            <w:tcW w:w="6237" w:type="dxa"/>
          </w:tcPr>
          <w:p w:rsidR="007377C8" w:rsidRPr="007377C8" w:rsidRDefault="007377C8" w:rsidP="007377C8">
            <w:pPr>
              <w:jc w:val="both"/>
              <w:rPr>
                <w:lang w:val="tr-TR"/>
              </w:rPr>
            </w:pPr>
            <w:r w:rsidRPr="007377C8">
              <w:rPr>
                <w:lang w:val="tr-TR"/>
              </w:rPr>
              <w:t>6. İadeye esas alınacak harcama miktarı, kredi kartı veya banka kartı ile yapılabilecek her bir harcama miktarı ayrı ayrı 1</w:t>
            </w:r>
            <w:r w:rsidR="00AB2D64">
              <w:rPr>
                <w:lang w:val="tr-TR"/>
              </w:rPr>
              <w:t>.-</w:t>
            </w:r>
            <w:r w:rsidRPr="007377C8">
              <w:rPr>
                <w:lang w:val="tr-TR"/>
              </w:rPr>
              <w:t xml:space="preserve"> TL (Bir Türk Lirası) üzerindeki tüm harcamalardır.”</w:t>
            </w:r>
          </w:p>
          <w:p w:rsidR="007377C8" w:rsidRPr="007377C8" w:rsidRDefault="007377C8" w:rsidP="00420677">
            <w:pPr>
              <w:jc w:val="both"/>
              <w:rPr>
                <w:lang w:val="tr-TR"/>
              </w:rPr>
            </w:pPr>
          </w:p>
        </w:tc>
      </w:tr>
      <w:tr w:rsidR="007377C8" w:rsidRPr="006A4B2C" w:rsidTr="002448DC">
        <w:tc>
          <w:tcPr>
            <w:tcW w:w="9999" w:type="dxa"/>
            <w:gridSpan w:val="5"/>
          </w:tcPr>
          <w:p w:rsidR="007377C8" w:rsidRPr="007377C8" w:rsidRDefault="007377C8" w:rsidP="00420677">
            <w:pPr>
              <w:overflowPunct w:val="0"/>
              <w:autoSpaceDE w:val="0"/>
              <w:autoSpaceDN w:val="0"/>
              <w:adjustRightInd w:val="0"/>
              <w:jc w:val="both"/>
              <w:rPr>
                <w:lang w:val="tr-TR"/>
              </w:rPr>
            </w:pPr>
          </w:p>
        </w:tc>
      </w:tr>
      <w:tr w:rsidR="001A4A6C" w:rsidRPr="006A4B2C" w:rsidTr="001A4A6C">
        <w:tc>
          <w:tcPr>
            <w:tcW w:w="1778" w:type="dxa"/>
          </w:tcPr>
          <w:p w:rsidR="001A4A6C" w:rsidRPr="007377C8" w:rsidRDefault="00AB7988" w:rsidP="00AB7988">
            <w:pPr>
              <w:overflowPunct w:val="0"/>
              <w:autoSpaceDE w:val="0"/>
              <w:autoSpaceDN w:val="0"/>
              <w:adjustRightInd w:val="0"/>
              <w:rPr>
                <w:lang w:val="tr-TR"/>
              </w:rPr>
            </w:pPr>
            <w:r>
              <w:rPr>
                <w:lang w:val="tr-TR"/>
              </w:rPr>
              <w:t>Esas Yasa</w:t>
            </w:r>
            <w:r w:rsidR="001A4A6C">
              <w:rPr>
                <w:lang w:val="tr-TR"/>
              </w:rPr>
              <w:t xml:space="preserve">nın 7’nci Maddesinin </w:t>
            </w:r>
          </w:p>
        </w:tc>
        <w:tc>
          <w:tcPr>
            <w:tcW w:w="8221" w:type="dxa"/>
            <w:gridSpan w:val="4"/>
          </w:tcPr>
          <w:p w:rsidR="001A4A6C" w:rsidRPr="007377C8" w:rsidRDefault="001A4A6C" w:rsidP="00EC124C">
            <w:pPr>
              <w:overflowPunct w:val="0"/>
              <w:autoSpaceDE w:val="0"/>
              <w:autoSpaceDN w:val="0"/>
              <w:adjustRightInd w:val="0"/>
              <w:jc w:val="both"/>
              <w:rPr>
                <w:lang w:val="tr-TR"/>
              </w:rPr>
            </w:pPr>
            <w:r>
              <w:rPr>
                <w:lang w:val="tr-TR"/>
              </w:rPr>
              <w:t>3. Esas Yasa, 7’nci maddesi kaldırılmak ve yerine a</w:t>
            </w:r>
            <w:r w:rsidR="002B4C0F">
              <w:rPr>
                <w:lang w:val="tr-TR"/>
              </w:rPr>
              <w:t xml:space="preserve">şağıdaki yeni 7’nci madde </w:t>
            </w:r>
            <w:r w:rsidR="00EC124C">
              <w:rPr>
                <w:lang w:val="tr-TR"/>
              </w:rPr>
              <w:t xml:space="preserve">konmak </w:t>
            </w:r>
            <w:r>
              <w:rPr>
                <w:lang w:val="tr-TR"/>
              </w:rPr>
              <w:t>suretiyle değiştirilir:</w:t>
            </w:r>
          </w:p>
        </w:tc>
      </w:tr>
      <w:tr w:rsidR="001A4A6C" w:rsidRPr="006A4B2C" w:rsidTr="001A4A6C">
        <w:tc>
          <w:tcPr>
            <w:tcW w:w="1778" w:type="dxa"/>
          </w:tcPr>
          <w:p w:rsidR="001A4A6C" w:rsidRDefault="001A4A6C" w:rsidP="00420677">
            <w:pPr>
              <w:overflowPunct w:val="0"/>
              <w:autoSpaceDE w:val="0"/>
              <w:autoSpaceDN w:val="0"/>
              <w:adjustRightInd w:val="0"/>
              <w:jc w:val="both"/>
              <w:rPr>
                <w:lang w:val="tr-TR"/>
              </w:rPr>
            </w:pPr>
            <w:r w:rsidRPr="001A4A6C">
              <w:rPr>
                <w:lang w:val="tr-TR"/>
              </w:rPr>
              <w:t>Değiştirilmesi</w:t>
            </w:r>
          </w:p>
        </w:tc>
        <w:tc>
          <w:tcPr>
            <w:tcW w:w="567" w:type="dxa"/>
          </w:tcPr>
          <w:p w:rsidR="001A4A6C" w:rsidRDefault="001A4A6C" w:rsidP="001A4A6C">
            <w:pPr>
              <w:overflowPunct w:val="0"/>
              <w:autoSpaceDE w:val="0"/>
              <w:autoSpaceDN w:val="0"/>
              <w:adjustRightInd w:val="0"/>
              <w:rPr>
                <w:lang w:val="tr-TR"/>
              </w:rPr>
            </w:pPr>
          </w:p>
        </w:tc>
        <w:tc>
          <w:tcPr>
            <w:tcW w:w="1417" w:type="dxa"/>
            <w:gridSpan w:val="2"/>
          </w:tcPr>
          <w:p w:rsidR="001A4A6C" w:rsidRDefault="001A4A6C" w:rsidP="001A4A6C">
            <w:pPr>
              <w:overflowPunct w:val="0"/>
              <w:autoSpaceDE w:val="0"/>
              <w:autoSpaceDN w:val="0"/>
              <w:adjustRightInd w:val="0"/>
              <w:rPr>
                <w:lang w:val="tr-TR"/>
              </w:rPr>
            </w:pPr>
            <w:r>
              <w:rPr>
                <w:lang w:val="tr-TR"/>
              </w:rPr>
              <w:t>“Hesap ve Oranlar</w:t>
            </w:r>
          </w:p>
        </w:tc>
        <w:tc>
          <w:tcPr>
            <w:tcW w:w="6237" w:type="dxa"/>
          </w:tcPr>
          <w:p w:rsidR="001A4A6C" w:rsidRDefault="001A4A6C" w:rsidP="00420677">
            <w:pPr>
              <w:overflowPunct w:val="0"/>
              <w:autoSpaceDE w:val="0"/>
              <w:autoSpaceDN w:val="0"/>
              <w:adjustRightInd w:val="0"/>
              <w:jc w:val="both"/>
              <w:rPr>
                <w:lang w:val="tr-TR"/>
              </w:rPr>
            </w:pPr>
            <w:r>
              <w:rPr>
                <w:lang w:val="tr-TR"/>
              </w:rPr>
              <w:t>7</w:t>
            </w:r>
            <w:r w:rsidR="00EC124C">
              <w:rPr>
                <w:lang w:val="tr-TR"/>
              </w:rPr>
              <w:t>. İade üç aylık dönemler itibarı</w:t>
            </w:r>
            <w:r w:rsidR="008954ED">
              <w:rPr>
                <w:lang w:val="tr-TR"/>
              </w:rPr>
              <w:t>yla</w:t>
            </w:r>
            <w:r>
              <w:rPr>
                <w:lang w:val="tr-TR"/>
              </w:rPr>
              <w:t xml:space="preserve"> yapılır, ancak aylık hesap edilir. Hesaplama bu Yasanın 6’ncı maddesi kuralları dikkate alınarak mal v</w:t>
            </w:r>
            <w:r w:rsidR="00AB7988">
              <w:rPr>
                <w:lang w:val="tr-TR"/>
              </w:rPr>
              <w:t>e hizmet alımları miktarına</w:t>
            </w:r>
            <w:r w:rsidR="008954ED">
              <w:rPr>
                <w:lang w:val="tr-TR"/>
              </w:rPr>
              <w:t xml:space="preserve"> %</w:t>
            </w:r>
            <w:r>
              <w:rPr>
                <w:lang w:val="tr-TR"/>
              </w:rPr>
              <w:t>1 iade oranı uygulanması suretiyle yapılır.</w:t>
            </w:r>
          </w:p>
          <w:p w:rsidR="001A4A6C" w:rsidRDefault="001A4A6C" w:rsidP="00420677">
            <w:pPr>
              <w:overflowPunct w:val="0"/>
              <w:autoSpaceDE w:val="0"/>
              <w:autoSpaceDN w:val="0"/>
              <w:adjustRightInd w:val="0"/>
              <w:jc w:val="both"/>
              <w:rPr>
                <w:lang w:val="tr-TR"/>
              </w:rPr>
            </w:pPr>
            <w:r>
              <w:rPr>
                <w:lang w:val="tr-TR"/>
              </w:rPr>
              <w:t xml:space="preserve">             </w:t>
            </w:r>
            <w:r w:rsidR="008954ED">
              <w:rPr>
                <w:lang w:val="tr-TR"/>
              </w:rPr>
              <w:t>Bakanlar Kurulu bu oranı %</w:t>
            </w:r>
            <w:r>
              <w:rPr>
                <w:lang w:val="tr-TR"/>
              </w:rPr>
              <w:t>1,5 oranına kadar artırmaya veya % 0,1 oranına kadar indirmeye yetkilidir.”</w:t>
            </w:r>
          </w:p>
        </w:tc>
      </w:tr>
      <w:tr w:rsidR="001A4A6C" w:rsidRPr="006A4B2C" w:rsidTr="001A4A6C">
        <w:tc>
          <w:tcPr>
            <w:tcW w:w="1778" w:type="dxa"/>
          </w:tcPr>
          <w:p w:rsidR="001A4A6C" w:rsidRDefault="001A4A6C" w:rsidP="00420677">
            <w:pPr>
              <w:overflowPunct w:val="0"/>
              <w:autoSpaceDE w:val="0"/>
              <w:autoSpaceDN w:val="0"/>
              <w:adjustRightInd w:val="0"/>
              <w:jc w:val="both"/>
              <w:rPr>
                <w:lang w:val="tr-TR"/>
              </w:rPr>
            </w:pPr>
          </w:p>
        </w:tc>
        <w:tc>
          <w:tcPr>
            <w:tcW w:w="8221" w:type="dxa"/>
            <w:gridSpan w:val="4"/>
          </w:tcPr>
          <w:p w:rsidR="001A4A6C" w:rsidRPr="007377C8" w:rsidRDefault="001A4A6C" w:rsidP="00420677">
            <w:pPr>
              <w:overflowPunct w:val="0"/>
              <w:autoSpaceDE w:val="0"/>
              <w:autoSpaceDN w:val="0"/>
              <w:adjustRightInd w:val="0"/>
              <w:jc w:val="both"/>
              <w:rPr>
                <w:lang w:val="tr-TR"/>
              </w:rPr>
            </w:pPr>
          </w:p>
        </w:tc>
      </w:tr>
      <w:tr w:rsidR="00AB7988" w:rsidRPr="006A4B2C" w:rsidTr="00AB7988">
        <w:tc>
          <w:tcPr>
            <w:tcW w:w="1778" w:type="dxa"/>
            <w:vMerge w:val="restart"/>
          </w:tcPr>
          <w:p w:rsidR="00AB7988" w:rsidRPr="007377C8" w:rsidRDefault="00AB7988" w:rsidP="007377C8">
            <w:pPr>
              <w:ind w:right="-114"/>
              <w:rPr>
                <w:lang w:val="tr-TR"/>
              </w:rPr>
            </w:pPr>
            <w:r w:rsidRPr="007377C8">
              <w:rPr>
                <w:lang w:val="tr-TR"/>
              </w:rPr>
              <w:t>Esas Yasanın 8’inci Maddesinin Değiştirilmesi</w:t>
            </w:r>
          </w:p>
        </w:tc>
        <w:tc>
          <w:tcPr>
            <w:tcW w:w="567" w:type="dxa"/>
          </w:tcPr>
          <w:p w:rsidR="00AB7988" w:rsidRPr="007377C8" w:rsidRDefault="00AB7988" w:rsidP="00AB7988">
            <w:pPr>
              <w:jc w:val="both"/>
              <w:rPr>
                <w:lang w:val="tr-TR"/>
              </w:rPr>
            </w:pPr>
            <w:r>
              <w:rPr>
                <w:lang w:val="tr-TR"/>
              </w:rPr>
              <w:t>4</w:t>
            </w:r>
            <w:r w:rsidRPr="007377C8">
              <w:rPr>
                <w:lang w:val="tr-TR"/>
              </w:rPr>
              <w:t xml:space="preserve">. </w:t>
            </w:r>
          </w:p>
        </w:tc>
        <w:tc>
          <w:tcPr>
            <w:tcW w:w="709" w:type="dxa"/>
          </w:tcPr>
          <w:p w:rsidR="00AB7988" w:rsidRPr="007377C8" w:rsidRDefault="00AB7988" w:rsidP="00AB7988">
            <w:pPr>
              <w:jc w:val="center"/>
              <w:rPr>
                <w:lang w:val="tr-TR"/>
              </w:rPr>
            </w:pPr>
            <w:r>
              <w:rPr>
                <w:lang w:val="tr-TR"/>
              </w:rPr>
              <w:t>(1)</w:t>
            </w:r>
          </w:p>
        </w:tc>
        <w:tc>
          <w:tcPr>
            <w:tcW w:w="6945" w:type="dxa"/>
            <w:gridSpan w:val="2"/>
          </w:tcPr>
          <w:p w:rsidR="00AB7988" w:rsidRPr="007377C8" w:rsidRDefault="00AB7988" w:rsidP="00BA6397">
            <w:pPr>
              <w:jc w:val="both"/>
              <w:rPr>
                <w:lang w:val="tr-TR"/>
              </w:rPr>
            </w:pPr>
            <w:r w:rsidRPr="00AB7988">
              <w:rPr>
                <w:lang w:val="tr-TR"/>
              </w:rPr>
              <w:t>Esas Yas</w:t>
            </w:r>
            <w:r>
              <w:rPr>
                <w:lang w:val="tr-TR"/>
              </w:rPr>
              <w:t xml:space="preserve">a,  8’inci maddesinin (1)’inci ve </w:t>
            </w:r>
            <w:r w:rsidRPr="00AB7988">
              <w:rPr>
                <w:lang w:val="tr-TR"/>
              </w:rPr>
              <w:t xml:space="preserve">(2)’nci fıkraları kaldırılmak ve </w:t>
            </w:r>
            <w:r>
              <w:rPr>
                <w:lang w:val="tr-TR"/>
              </w:rPr>
              <w:t xml:space="preserve">yerine </w:t>
            </w:r>
            <w:r w:rsidR="00F51A71">
              <w:rPr>
                <w:lang w:val="tr-TR"/>
              </w:rPr>
              <w:t xml:space="preserve">sırasıyla </w:t>
            </w:r>
            <w:r>
              <w:rPr>
                <w:lang w:val="tr-TR"/>
              </w:rPr>
              <w:t xml:space="preserve">aşağıdaki yeni (1)’inci ve (2)’nci </w:t>
            </w:r>
            <w:r w:rsidRPr="00AB7988">
              <w:rPr>
                <w:lang w:val="tr-TR"/>
              </w:rPr>
              <w:t>fıkralar</w:t>
            </w:r>
            <w:r w:rsidR="00BA6397">
              <w:rPr>
                <w:lang w:val="tr-TR"/>
              </w:rPr>
              <w:t xml:space="preserve"> konmak </w:t>
            </w:r>
            <w:r w:rsidRPr="00AB7988">
              <w:rPr>
                <w:lang w:val="tr-TR"/>
              </w:rPr>
              <w:t>suretiyle değiştirilir:</w:t>
            </w:r>
          </w:p>
        </w:tc>
      </w:tr>
      <w:tr w:rsidR="007377C8" w:rsidRPr="006A4B2C" w:rsidTr="000C63CC">
        <w:tc>
          <w:tcPr>
            <w:tcW w:w="1778" w:type="dxa"/>
            <w:vMerge/>
          </w:tcPr>
          <w:p w:rsidR="007377C8" w:rsidRPr="007377C8" w:rsidRDefault="007377C8" w:rsidP="00D62F28">
            <w:pPr>
              <w:ind w:right="-114"/>
              <w:jc w:val="both"/>
              <w:rPr>
                <w:lang w:val="tr-TR"/>
              </w:rPr>
            </w:pPr>
          </w:p>
        </w:tc>
        <w:tc>
          <w:tcPr>
            <w:tcW w:w="8221" w:type="dxa"/>
            <w:gridSpan w:val="4"/>
          </w:tcPr>
          <w:p w:rsidR="007377C8" w:rsidRPr="007377C8" w:rsidRDefault="007377C8" w:rsidP="00D62F28">
            <w:pPr>
              <w:ind w:left="90"/>
              <w:jc w:val="both"/>
              <w:rPr>
                <w:lang w:val="tr-TR"/>
              </w:rPr>
            </w:pPr>
          </w:p>
        </w:tc>
      </w:tr>
      <w:tr w:rsidR="00AB7988" w:rsidRPr="006A4B2C" w:rsidTr="00AB7988">
        <w:tc>
          <w:tcPr>
            <w:tcW w:w="1778" w:type="dxa"/>
            <w:vMerge/>
          </w:tcPr>
          <w:p w:rsidR="00AB7988" w:rsidRPr="007377C8" w:rsidRDefault="00AB7988" w:rsidP="00420677">
            <w:pPr>
              <w:ind w:right="-114"/>
              <w:rPr>
                <w:lang w:val="tr-TR"/>
              </w:rPr>
            </w:pPr>
          </w:p>
        </w:tc>
        <w:tc>
          <w:tcPr>
            <w:tcW w:w="567" w:type="dxa"/>
          </w:tcPr>
          <w:p w:rsidR="00AB7988" w:rsidRPr="007377C8" w:rsidRDefault="00AB7988" w:rsidP="00420677">
            <w:pPr>
              <w:ind w:left="90"/>
              <w:jc w:val="center"/>
              <w:rPr>
                <w:lang w:val="tr-TR"/>
              </w:rPr>
            </w:pPr>
          </w:p>
        </w:tc>
        <w:tc>
          <w:tcPr>
            <w:tcW w:w="709" w:type="dxa"/>
          </w:tcPr>
          <w:p w:rsidR="00AB7988" w:rsidRPr="007377C8" w:rsidRDefault="00AB7988" w:rsidP="00AB7988">
            <w:pPr>
              <w:rPr>
                <w:lang w:val="tr-TR"/>
              </w:rPr>
            </w:pPr>
          </w:p>
        </w:tc>
        <w:tc>
          <w:tcPr>
            <w:tcW w:w="708" w:type="dxa"/>
          </w:tcPr>
          <w:p w:rsidR="00AB7988" w:rsidRPr="007377C8" w:rsidRDefault="00AB7988" w:rsidP="00420677">
            <w:pPr>
              <w:jc w:val="both"/>
              <w:rPr>
                <w:lang w:val="tr-TR"/>
              </w:rPr>
            </w:pPr>
            <w:r>
              <w:rPr>
                <w:lang w:val="tr-TR"/>
              </w:rPr>
              <w:t>“(1)</w:t>
            </w:r>
          </w:p>
        </w:tc>
        <w:tc>
          <w:tcPr>
            <w:tcW w:w="6237" w:type="dxa"/>
          </w:tcPr>
          <w:p w:rsidR="00AB7988" w:rsidRPr="007377C8" w:rsidRDefault="00AB7988" w:rsidP="00420677">
            <w:pPr>
              <w:jc w:val="both"/>
              <w:rPr>
                <w:lang w:val="tr-TR"/>
              </w:rPr>
            </w:pPr>
            <w:r w:rsidRPr="00AB7988">
              <w:rPr>
                <w:lang w:val="tr-TR"/>
              </w:rPr>
              <w:t>İadeden yararlanacakların kredi kartı ve/veya banka kartı ile üç takvim ayı içinde yaptıkları mal alımı ve hizmet teslimleri iadenin üç aylık konusunu teşkil eder.</w:t>
            </w:r>
          </w:p>
        </w:tc>
      </w:tr>
      <w:tr w:rsidR="00AB7988" w:rsidRPr="006A4B2C" w:rsidTr="00AB7988">
        <w:tc>
          <w:tcPr>
            <w:tcW w:w="1778" w:type="dxa"/>
          </w:tcPr>
          <w:p w:rsidR="00AB7988" w:rsidRPr="007377C8" w:rsidRDefault="00AB7988" w:rsidP="00420677">
            <w:pPr>
              <w:ind w:right="-114"/>
              <w:rPr>
                <w:lang w:val="tr-TR"/>
              </w:rPr>
            </w:pPr>
          </w:p>
        </w:tc>
        <w:tc>
          <w:tcPr>
            <w:tcW w:w="567" w:type="dxa"/>
          </w:tcPr>
          <w:p w:rsidR="00AB7988" w:rsidRPr="007377C8" w:rsidRDefault="00AB7988" w:rsidP="00420677">
            <w:pPr>
              <w:ind w:left="90"/>
              <w:jc w:val="center"/>
              <w:rPr>
                <w:lang w:val="tr-TR"/>
              </w:rPr>
            </w:pPr>
          </w:p>
        </w:tc>
        <w:tc>
          <w:tcPr>
            <w:tcW w:w="709" w:type="dxa"/>
          </w:tcPr>
          <w:p w:rsidR="00AB7988" w:rsidRPr="007377C8" w:rsidRDefault="00AB7988" w:rsidP="00AB7988">
            <w:pPr>
              <w:rPr>
                <w:lang w:val="tr-TR"/>
              </w:rPr>
            </w:pPr>
          </w:p>
        </w:tc>
        <w:tc>
          <w:tcPr>
            <w:tcW w:w="708" w:type="dxa"/>
          </w:tcPr>
          <w:p w:rsidR="00AB7988" w:rsidRDefault="00AB7988" w:rsidP="00AB7988">
            <w:pPr>
              <w:jc w:val="center"/>
              <w:rPr>
                <w:lang w:val="tr-TR"/>
              </w:rPr>
            </w:pPr>
            <w:r>
              <w:rPr>
                <w:lang w:val="tr-TR"/>
              </w:rPr>
              <w:t>(2)</w:t>
            </w:r>
          </w:p>
        </w:tc>
        <w:tc>
          <w:tcPr>
            <w:tcW w:w="6237" w:type="dxa"/>
          </w:tcPr>
          <w:p w:rsidR="00AB7988" w:rsidRPr="00AB7988" w:rsidRDefault="00AB7988" w:rsidP="00420677">
            <w:pPr>
              <w:jc w:val="both"/>
              <w:rPr>
                <w:lang w:val="tr-TR"/>
              </w:rPr>
            </w:pPr>
            <w:r w:rsidRPr="00AB7988">
              <w:rPr>
                <w:lang w:val="tr-TR"/>
              </w:rPr>
              <w:t>Bankalar, iadeden yararlanacakların üç takvim ayı içinde yaptıkları mal ve hizmet alımları bedellerini esas alarak bu Yasada belirtilen oranı göz önünde bulundurmak suretiyle hak edilen iade miktarını hesaplarlar.</w:t>
            </w:r>
            <w:r>
              <w:rPr>
                <w:lang w:val="tr-TR"/>
              </w:rPr>
              <w:t>”</w:t>
            </w:r>
          </w:p>
        </w:tc>
      </w:tr>
    </w:tbl>
    <w:p w:rsidR="0002054F" w:rsidRDefault="0002054F"/>
    <w:tbl>
      <w:tblPr>
        <w:tblW w:w="9999" w:type="dxa"/>
        <w:tblInd w:w="-252" w:type="dxa"/>
        <w:tblLayout w:type="fixed"/>
        <w:tblLook w:val="0000" w:firstRow="0" w:lastRow="0" w:firstColumn="0" w:lastColumn="0" w:noHBand="0" w:noVBand="0"/>
      </w:tblPr>
      <w:tblGrid>
        <w:gridCol w:w="1778"/>
        <w:gridCol w:w="567"/>
        <w:gridCol w:w="709"/>
        <w:gridCol w:w="708"/>
        <w:gridCol w:w="6237"/>
      </w:tblGrid>
      <w:tr w:rsidR="00AB7988" w:rsidRPr="006A4B2C" w:rsidTr="008E60FC">
        <w:tc>
          <w:tcPr>
            <w:tcW w:w="1778" w:type="dxa"/>
          </w:tcPr>
          <w:p w:rsidR="00AB7988" w:rsidRPr="007377C8" w:rsidRDefault="00AB7988" w:rsidP="00420677">
            <w:pPr>
              <w:ind w:right="-114"/>
              <w:rPr>
                <w:lang w:val="tr-TR"/>
              </w:rPr>
            </w:pPr>
          </w:p>
        </w:tc>
        <w:tc>
          <w:tcPr>
            <w:tcW w:w="567" w:type="dxa"/>
          </w:tcPr>
          <w:p w:rsidR="00AB7988" w:rsidRPr="007377C8" w:rsidRDefault="00AB7988" w:rsidP="00420677">
            <w:pPr>
              <w:ind w:left="90"/>
              <w:jc w:val="center"/>
              <w:rPr>
                <w:lang w:val="tr-TR"/>
              </w:rPr>
            </w:pPr>
          </w:p>
        </w:tc>
        <w:tc>
          <w:tcPr>
            <w:tcW w:w="709" w:type="dxa"/>
          </w:tcPr>
          <w:p w:rsidR="00AB7988" w:rsidRPr="007377C8" w:rsidRDefault="00AB7988" w:rsidP="00AB7988">
            <w:pPr>
              <w:jc w:val="center"/>
              <w:rPr>
                <w:lang w:val="tr-TR"/>
              </w:rPr>
            </w:pPr>
            <w:r>
              <w:rPr>
                <w:lang w:val="tr-TR"/>
              </w:rPr>
              <w:t>(2)</w:t>
            </w:r>
          </w:p>
        </w:tc>
        <w:tc>
          <w:tcPr>
            <w:tcW w:w="6945" w:type="dxa"/>
            <w:gridSpan w:val="2"/>
          </w:tcPr>
          <w:p w:rsidR="00AB7988" w:rsidRPr="00AB7988" w:rsidRDefault="00AB7988" w:rsidP="0002054F">
            <w:pPr>
              <w:jc w:val="both"/>
              <w:rPr>
                <w:lang w:val="tr-TR"/>
              </w:rPr>
            </w:pPr>
            <w:r w:rsidRPr="00AB7988">
              <w:rPr>
                <w:lang w:val="tr-TR"/>
              </w:rPr>
              <w:t xml:space="preserve">Esas Yasa,  8’inci maddesinin </w:t>
            </w:r>
            <w:r w:rsidR="005A44D7">
              <w:rPr>
                <w:lang w:val="tr-TR"/>
              </w:rPr>
              <w:t>(5)’inci</w:t>
            </w:r>
            <w:r>
              <w:rPr>
                <w:lang w:val="tr-TR"/>
              </w:rPr>
              <w:t xml:space="preserve"> fıkrası</w:t>
            </w:r>
            <w:r w:rsidRPr="00AB7988">
              <w:rPr>
                <w:lang w:val="tr-TR"/>
              </w:rPr>
              <w:t xml:space="preserve"> kaldırılmak ve yerine aşağıdaki yeni </w:t>
            </w:r>
            <w:r w:rsidR="005A44D7">
              <w:rPr>
                <w:lang w:val="tr-TR"/>
              </w:rPr>
              <w:t>(5)’inci</w:t>
            </w:r>
            <w:r>
              <w:rPr>
                <w:lang w:val="tr-TR"/>
              </w:rPr>
              <w:t xml:space="preserve"> fıkra </w:t>
            </w:r>
            <w:r w:rsidR="0002054F">
              <w:rPr>
                <w:lang w:val="tr-TR"/>
              </w:rPr>
              <w:t xml:space="preserve">konmak </w:t>
            </w:r>
            <w:r w:rsidRPr="00AB7988">
              <w:rPr>
                <w:lang w:val="tr-TR"/>
              </w:rPr>
              <w:t>suretiyle değiştirilir:</w:t>
            </w:r>
          </w:p>
        </w:tc>
      </w:tr>
      <w:tr w:rsidR="00AB7988" w:rsidRPr="006A4B2C" w:rsidTr="008E60FC">
        <w:tc>
          <w:tcPr>
            <w:tcW w:w="1778" w:type="dxa"/>
          </w:tcPr>
          <w:p w:rsidR="00AB7988" w:rsidRPr="007377C8" w:rsidRDefault="00AB7988" w:rsidP="00420677">
            <w:pPr>
              <w:ind w:right="-114"/>
              <w:rPr>
                <w:lang w:val="tr-TR"/>
              </w:rPr>
            </w:pPr>
          </w:p>
        </w:tc>
        <w:tc>
          <w:tcPr>
            <w:tcW w:w="567" w:type="dxa"/>
          </w:tcPr>
          <w:p w:rsidR="00AB7988" w:rsidRPr="007377C8" w:rsidRDefault="00AB7988" w:rsidP="00420677">
            <w:pPr>
              <w:ind w:left="90"/>
              <w:jc w:val="center"/>
              <w:rPr>
                <w:lang w:val="tr-TR"/>
              </w:rPr>
            </w:pPr>
          </w:p>
        </w:tc>
        <w:tc>
          <w:tcPr>
            <w:tcW w:w="709" w:type="dxa"/>
          </w:tcPr>
          <w:p w:rsidR="00AB7988" w:rsidRDefault="00AB7988" w:rsidP="00AB7988">
            <w:pPr>
              <w:rPr>
                <w:lang w:val="tr-TR"/>
              </w:rPr>
            </w:pPr>
          </w:p>
        </w:tc>
        <w:tc>
          <w:tcPr>
            <w:tcW w:w="6945" w:type="dxa"/>
            <w:gridSpan w:val="2"/>
          </w:tcPr>
          <w:p w:rsidR="00AB7988" w:rsidRPr="00AB7988" w:rsidRDefault="00AB7988" w:rsidP="00AB7988">
            <w:pPr>
              <w:jc w:val="both"/>
              <w:rPr>
                <w:lang w:val="tr-TR"/>
              </w:rPr>
            </w:pPr>
          </w:p>
        </w:tc>
      </w:tr>
      <w:tr w:rsidR="00AB7988" w:rsidRPr="006A4B2C" w:rsidTr="00AB7988">
        <w:tc>
          <w:tcPr>
            <w:tcW w:w="1778" w:type="dxa"/>
          </w:tcPr>
          <w:p w:rsidR="00AB7988" w:rsidRPr="007377C8" w:rsidRDefault="00AB7988" w:rsidP="00420677">
            <w:pPr>
              <w:ind w:right="-114"/>
              <w:rPr>
                <w:lang w:val="tr-TR"/>
              </w:rPr>
            </w:pPr>
          </w:p>
        </w:tc>
        <w:tc>
          <w:tcPr>
            <w:tcW w:w="567" w:type="dxa"/>
          </w:tcPr>
          <w:p w:rsidR="00AB7988" w:rsidRPr="007377C8" w:rsidRDefault="00AB7988" w:rsidP="00420677">
            <w:pPr>
              <w:ind w:left="90"/>
              <w:jc w:val="center"/>
              <w:rPr>
                <w:lang w:val="tr-TR"/>
              </w:rPr>
            </w:pPr>
          </w:p>
        </w:tc>
        <w:tc>
          <w:tcPr>
            <w:tcW w:w="709" w:type="dxa"/>
          </w:tcPr>
          <w:p w:rsidR="00AB7988" w:rsidRPr="007377C8" w:rsidRDefault="00AB7988" w:rsidP="00AB7988">
            <w:pPr>
              <w:rPr>
                <w:lang w:val="tr-TR"/>
              </w:rPr>
            </w:pPr>
          </w:p>
        </w:tc>
        <w:tc>
          <w:tcPr>
            <w:tcW w:w="708" w:type="dxa"/>
          </w:tcPr>
          <w:p w:rsidR="00AB7988" w:rsidRDefault="005A44D7" w:rsidP="00AB7988">
            <w:pPr>
              <w:jc w:val="center"/>
              <w:rPr>
                <w:lang w:val="tr-TR"/>
              </w:rPr>
            </w:pPr>
            <w:r>
              <w:rPr>
                <w:lang w:val="tr-TR"/>
              </w:rPr>
              <w:t>“(5</w:t>
            </w:r>
            <w:r w:rsidR="00AB7988">
              <w:rPr>
                <w:lang w:val="tr-TR"/>
              </w:rPr>
              <w:t>)</w:t>
            </w:r>
          </w:p>
        </w:tc>
        <w:tc>
          <w:tcPr>
            <w:tcW w:w="6237" w:type="dxa"/>
          </w:tcPr>
          <w:p w:rsidR="00AB7988" w:rsidRPr="00AB7988" w:rsidRDefault="005A44D7" w:rsidP="008954ED">
            <w:pPr>
              <w:jc w:val="both"/>
              <w:rPr>
                <w:lang w:val="tr-TR"/>
              </w:rPr>
            </w:pPr>
            <w:r w:rsidRPr="005A44D7">
              <w:rPr>
                <w:lang w:val="tr-TR"/>
              </w:rPr>
              <w:t>Bankaların iade ile ilgili işlemleri iflas, tasfiye</w:t>
            </w:r>
            <w:r>
              <w:rPr>
                <w:lang w:val="tr-TR"/>
              </w:rPr>
              <w:t>, hesabın kapalı olması</w:t>
            </w:r>
            <w:r w:rsidRPr="005A44D7">
              <w:rPr>
                <w:lang w:val="tr-TR"/>
              </w:rPr>
              <w:t xml:space="preserve"> veya zorunlu sebeplerle yerine getirmemeleri ve/veya bu Yasadan doğan yükümlülüklerini zamanında ve tam olarak yerine getirmemeleri durumunda, hak sahiplerinin alamadığı iade</w:t>
            </w:r>
            <w:r w:rsidR="00D62FA8">
              <w:rPr>
                <w:lang w:val="tr-TR"/>
              </w:rPr>
              <w:t xml:space="preserve"> </w:t>
            </w:r>
            <w:r w:rsidRPr="005A44D7">
              <w:rPr>
                <w:lang w:val="tr-TR"/>
              </w:rPr>
              <w:t xml:space="preserve">miktarı, </w:t>
            </w:r>
            <w:r w:rsidR="008954ED">
              <w:rPr>
                <w:lang w:val="tr-TR"/>
              </w:rPr>
              <w:t>bu maddenin (4)’üncü fıkrasınd</w:t>
            </w:r>
            <w:r w:rsidRPr="005A44D7">
              <w:rPr>
                <w:lang w:val="tr-TR"/>
              </w:rPr>
              <w:t>a belirtilen tarihi izleyen üç ay içerisinde hak sahipleri tarafından Gelir ve Vergi Daire</w:t>
            </w:r>
            <w:r w:rsidR="008954ED">
              <w:rPr>
                <w:lang w:val="tr-TR"/>
              </w:rPr>
              <w:t xml:space="preserve">sine yazılı olarak başvuru yapılması </w:t>
            </w:r>
            <w:r w:rsidRPr="005A44D7">
              <w:rPr>
                <w:lang w:val="tr-TR"/>
              </w:rPr>
              <w:t>halinde Gelir ve Vergi Dairesince ödenir.</w:t>
            </w:r>
            <w:r>
              <w:rPr>
                <w:lang w:val="tr-TR"/>
              </w:rPr>
              <w:t>”</w:t>
            </w:r>
          </w:p>
        </w:tc>
      </w:tr>
      <w:tr w:rsidR="002865E2" w:rsidRPr="006A4B2C" w:rsidTr="00FF5F17">
        <w:trPr>
          <w:trHeight w:val="293"/>
        </w:trPr>
        <w:tc>
          <w:tcPr>
            <w:tcW w:w="1778" w:type="dxa"/>
          </w:tcPr>
          <w:p w:rsidR="002865E2" w:rsidRPr="007377C8" w:rsidRDefault="002865E2" w:rsidP="002865E2">
            <w:pPr>
              <w:ind w:right="-114"/>
              <w:rPr>
                <w:lang w:val="tr-TR"/>
              </w:rPr>
            </w:pPr>
          </w:p>
        </w:tc>
        <w:tc>
          <w:tcPr>
            <w:tcW w:w="8221" w:type="dxa"/>
            <w:gridSpan w:val="4"/>
          </w:tcPr>
          <w:p w:rsidR="002865E2" w:rsidRDefault="002865E2" w:rsidP="002865E2">
            <w:pPr>
              <w:spacing w:line="259" w:lineRule="auto"/>
              <w:jc w:val="both"/>
              <w:rPr>
                <w:lang w:val="tr-TR"/>
              </w:rPr>
            </w:pPr>
          </w:p>
        </w:tc>
      </w:tr>
      <w:tr w:rsidR="000300A2" w:rsidRPr="006A4B2C" w:rsidTr="000300A2">
        <w:trPr>
          <w:trHeight w:val="293"/>
        </w:trPr>
        <w:tc>
          <w:tcPr>
            <w:tcW w:w="1778" w:type="dxa"/>
          </w:tcPr>
          <w:p w:rsidR="000300A2" w:rsidRDefault="000300A2" w:rsidP="002865E2">
            <w:pPr>
              <w:rPr>
                <w:lang w:val="tr-TR"/>
              </w:rPr>
            </w:pPr>
            <w:r>
              <w:rPr>
                <w:lang w:val="tr-TR"/>
              </w:rPr>
              <w:t xml:space="preserve">Geçici Madde </w:t>
            </w:r>
          </w:p>
          <w:p w:rsidR="000300A2" w:rsidRDefault="000300A2" w:rsidP="002865E2">
            <w:pPr>
              <w:rPr>
                <w:lang w:val="tr-TR"/>
              </w:rPr>
            </w:pPr>
            <w:r>
              <w:rPr>
                <w:lang w:val="tr-TR"/>
              </w:rPr>
              <w:t xml:space="preserve">Kapanan Hesaplara </w:t>
            </w:r>
          </w:p>
          <w:p w:rsidR="000300A2" w:rsidRDefault="000300A2" w:rsidP="002865E2">
            <w:pPr>
              <w:rPr>
                <w:lang w:val="tr-TR"/>
              </w:rPr>
            </w:pPr>
            <w:r>
              <w:rPr>
                <w:lang w:val="tr-TR"/>
              </w:rPr>
              <w:t>İlişkin Kural</w:t>
            </w:r>
          </w:p>
        </w:tc>
        <w:tc>
          <w:tcPr>
            <w:tcW w:w="8221" w:type="dxa"/>
            <w:gridSpan w:val="4"/>
          </w:tcPr>
          <w:p w:rsidR="000300A2" w:rsidRPr="005A44D7" w:rsidRDefault="005A44D7" w:rsidP="00C17A90">
            <w:pPr>
              <w:spacing w:line="259" w:lineRule="auto"/>
              <w:jc w:val="both"/>
              <w:rPr>
                <w:lang w:val="tr-TR"/>
              </w:rPr>
            </w:pPr>
            <w:r w:rsidRPr="005A44D7">
              <w:rPr>
                <w:lang w:val="tr-TR"/>
              </w:rPr>
              <w:t>1.</w:t>
            </w:r>
            <w:r>
              <w:rPr>
                <w:lang w:val="tr-TR"/>
              </w:rPr>
              <w:t xml:space="preserve"> </w:t>
            </w:r>
            <w:r w:rsidR="008E399A" w:rsidRPr="008E399A">
              <w:rPr>
                <w:lang w:val="tr-TR"/>
              </w:rPr>
              <w:t xml:space="preserve">Bu (Değişiklik) Yasasının yürürlüğe girdiği tarihten </w:t>
            </w:r>
            <w:r w:rsidR="00C17A90">
              <w:rPr>
                <w:lang w:val="tr-TR"/>
              </w:rPr>
              <w:t xml:space="preserve">önce </w:t>
            </w:r>
            <w:r w:rsidR="008E399A" w:rsidRPr="008E399A">
              <w:rPr>
                <w:lang w:val="tr-TR"/>
              </w:rPr>
              <w:t xml:space="preserve">kapanan hesaplar </w:t>
            </w:r>
            <w:r w:rsidR="00C17A90">
              <w:rPr>
                <w:lang w:val="tr-TR"/>
              </w:rPr>
              <w:t>için, b</w:t>
            </w:r>
            <w:r w:rsidR="008E399A" w:rsidRPr="008E399A">
              <w:rPr>
                <w:lang w:val="tr-TR"/>
              </w:rPr>
              <w:t xml:space="preserve">u </w:t>
            </w:r>
            <w:r w:rsidR="008954ED">
              <w:rPr>
                <w:lang w:val="tr-TR"/>
              </w:rPr>
              <w:t xml:space="preserve">(Değişiklik) </w:t>
            </w:r>
            <w:r w:rsidR="008E399A" w:rsidRPr="008E399A">
              <w:rPr>
                <w:lang w:val="tr-TR"/>
              </w:rPr>
              <w:t>Yasa</w:t>
            </w:r>
            <w:r w:rsidR="008954ED">
              <w:rPr>
                <w:lang w:val="tr-TR"/>
              </w:rPr>
              <w:t>sı</w:t>
            </w:r>
            <w:r w:rsidR="008E399A" w:rsidRPr="008E399A">
              <w:rPr>
                <w:lang w:val="tr-TR"/>
              </w:rPr>
              <w:t>nın yürürlüğe girdiği tarihten itibaren üç ay içerisinde hak sahipleri tarafından Gelir ve Vergi Dair</w:t>
            </w:r>
            <w:r w:rsidR="008954ED">
              <w:rPr>
                <w:lang w:val="tr-TR"/>
              </w:rPr>
              <w:t>esine yazılı olarak başvuru yapılması</w:t>
            </w:r>
            <w:r w:rsidR="008E399A" w:rsidRPr="008E399A">
              <w:rPr>
                <w:lang w:val="tr-TR"/>
              </w:rPr>
              <w:t xml:space="preserve"> halinde iade miktarı Gelir ve Vergi Dairesince ödenir.</w:t>
            </w:r>
          </w:p>
        </w:tc>
      </w:tr>
      <w:tr w:rsidR="005A44D7" w:rsidRPr="006A4B2C" w:rsidTr="005A44D7">
        <w:trPr>
          <w:trHeight w:val="293"/>
        </w:trPr>
        <w:tc>
          <w:tcPr>
            <w:tcW w:w="1778" w:type="dxa"/>
          </w:tcPr>
          <w:p w:rsidR="005A44D7" w:rsidRDefault="005A44D7" w:rsidP="00AB74E5">
            <w:pPr>
              <w:spacing w:line="259" w:lineRule="auto"/>
              <w:jc w:val="both"/>
              <w:rPr>
                <w:lang w:val="tr-TR"/>
              </w:rPr>
            </w:pPr>
          </w:p>
        </w:tc>
        <w:tc>
          <w:tcPr>
            <w:tcW w:w="8221" w:type="dxa"/>
            <w:gridSpan w:val="4"/>
          </w:tcPr>
          <w:p w:rsidR="005A44D7" w:rsidRDefault="005A44D7" w:rsidP="00AB74E5">
            <w:pPr>
              <w:spacing w:line="259" w:lineRule="auto"/>
              <w:jc w:val="both"/>
              <w:rPr>
                <w:lang w:val="tr-TR"/>
              </w:rPr>
            </w:pPr>
          </w:p>
        </w:tc>
      </w:tr>
      <w:tr w:rsidR="007377C8" w:rsidRPr="006A4B2C" w:rsidTr="006F765F">
        <w:tc>
          <w:tcPr>
            <w:tcW w:w="1778" w:type="dxa"/>
          </w:tcPr>
          <w:p w:rsidR="007377C8" w:rsidRPr="007377C8" w:rsidRDefault="007377C8" w:rsidP="00420677">
            <w:pPr>
              <w:ind w:left="90" w:hanging="78"/>
              <w:rPr>
                <w:lang w:val="tr-TR"/>
              </w:rPr>
            </w:pPr>
            <w:r w:rsidRPr="007377C8">
              <w:rPr>
                <w:lang w:val="tr-TR"/>
              </w:rPr>
              <w:t>Yürürlüğe Giriş</w:t>
            </w:r>
          </w:p>
        </w:tc>
        <w:tc>
          <w:tcPr>
            <w:tcW w:w="8221" w:type="dxa"/>
            <w:gridSpan w:val="4"/>
          </w:tcPr>
          <w:p w:rsidR="007377C8" w:rsidRPr="007377C8" w:rsidRDefault="008F25BB" w:rsidP="00AB7988">
            <w:pPr>
              <w:jc w:val="both"/>
              <w:rPr>
                <w:lang w:val="tr-TR"/>
              </w:rPr>
            </w:pPr>
            <w:r>
              <w:rPr>
                <w:lang w:val="tr-TR"/>
              </w:rPr>
              <w:t>5</w:t>
            </w:r>
            <w:r w:rsidR="007377C8" w:rsidRPr="007377C8">
              <w:rPr>
                <w:lang w:val="tr-TR"/>
              </w:rPr>
              <w:t>. Bu Yasa, Resmi</w:t>
            </w:r>
            <w:r w:rsidR="00AB7988">
              <w:rPr>
                <w:lang w:val="tr-TR"/>
              </w:rPr>
              <w:t xml:space="preserve"> Gazete’de yayımlandığı tarihi t</w:t>
            </w:r>
            <w:r w:rsidR="008954ED">
              <w:rPr>
                <w:lang w:val="tr-TR"/>
              </w:rPr>
              <w:t>akip eden ayın başından başlayarak</w:t>
            </w:r>
            <w:r w:rsidR="00AB7988">
              <w:rPr>
                <w:lang w:val="tr-TR"/>
              </w:rPr>
              <w:t xml:space="preserve"> </w:t>
            </w:r>
            <w:r w:rsidR="007377C8" w:rsidRPr="007377C8">
              <w:rPr>
                <w:lang w:val="tr-TR"/>
              </w:rPr>
              <w:t>yürürlüğe girer.</w:t>
            </w:r>
          </w:p>
        </w:tc>
      </w:tr>
    </w:tbl>
    <w:p w:rsidR="00393B0D" w:rsidRPr="006A4B2C" w:rsidRDefault="00393B0D">
      <w:pPr>
        <w:rPr>
          <w:lang w:val="tr-TR"/>
        </w:rPr>
      </w:pPr>
    </w:p>
    <w:sectPr w:rsidR="00393B0D" w:rsidRPr="006A4B2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5EE"/>
    <w:multiLevelType w:val="hybridMultilevel"/>
    <w:tmpl w:val="41F24BF8"/>
    <w:lvl w:ilvl="0" w:tplc="C292077A">
      <w:start w:val="1"/>
      <w:numFmt w:val="decimal"/>
      <w:lvlText w:val="%1."/>
      <w:lvlJc w:val="left"/>
      <w:pPr>
        <w:ind w:left="360" w:hanging="360"/>
      </w:pPr>
      <w:rPr>
        <w:rFonts w:hint="default"/>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7C634C1"/>
    <w:multiLevelType w:val="hybridMultilevel"/>
    <w:tmpl w:val="90E877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F2E31A4"/>
    <w:multiLevelType w:val="hybridMultilevel"/>
    <w:tmpl w:val="863071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B2C"/>
    <w:rsid w:val="0002054F"/>
    <w:rsid w:val="000300A2"/>
    <w:rsid w:val="000441D4"/>
    <w:rsid w:val="000924FD"/>
    <w:rsid w:val="000B32BD"/>
    <w:rsid w:val="000E2E40"/>
    <w:rsid w:val="000E76D5"/>
    <w:rsid w:val="00116D8F"/>
    <w:rsid w:val="001A4A6C"/>
    <w:rsid w:val="00242086"/>
    <w:rsid w:val="0024658C"/>
    <w:rsid w:val="002865E2"/>
    <w:rsid w:val="002B4C0F"/>
    <w:rsid w:val="003359AD"/>
    <w:rsid w:val="00393B0D"/>
    <w:rsid w:val="0040644A"/>
    <w:rsid w:val="005038F1"/>
    <w:rsid w:val="005604C1"/>
    <w:rsid w:val="005A44D7"/>
    <w:rsid w:val="005D5D96"/>
    <w:rsid w:val="005E469A"/>
    <w:rsid w:val="005E5747"/>
    <w:rsid w:val="006019E8"/>
    <w:rsid w:val="00601D52"/>
    <w:rsid w:val="00645296"/>
    <w:rsid w:val="006A4B2C"/>
    <w:rsid w:val="006B5555"/>
    <w:rsid w:val="00712790"/>
    <w:rsid w:val="00734070"/>
    <w:rsid w:val="007377C8"/>
    <w:rsid w:val="007B1351"/>
    <w:rsid w:val="007C1105"/>
    <w:rsid w:val="00854379"/>
    <w:rsid w:val="00894843"/>
    <w:rsid w:val="008954ED"/>
    <w:rsid w:val="008E399A"/>
    <w:rsid w:val="008F25BB"/>
    <w:rsid w:val="0092372F"/>
    <w:rsid w:val="00964FE1"/>
    <w:rsid w:val="00A24AEE"/>
    <w:rsid w:val="00A86A5D"/>
    <w:rsid w:val="00AB2D64"/>
    <w:rsid w:val="00AB74E5"/>
    <w:rsid w:val="00AB7988"/>
    <w:rsid w:val="00AD19DF"/>
    <w:rsid w:val="00AE0BA2"/>
    <w:rsid w:val="00B4158C"/>
    <w:rsid w:val="00BA6397"/>
    <w:rsid w:val="00BD7AC0"/>
    <w:rsid w:val="00C1195D"/>
    <w:rsid w:val="00C17A90"/>
    <w:rsid w:val="00CA2104"/>
    <w:rsid w:val="00CC0640"/>
    <w:rsid w:val="00D30D89"/>
    <w:rsid w:val="00D554EA"/>
    <w:rsid w:val="00D62F28"/>
    <w:rsid w:val="00D62FA8"/>
    <w:rsid w:val="00DE1E8F"/>
    <w:rsid w:val="00DF14AB"/>
    <w:rsid w:val="00E45644"/>
    <w:rsid w:val="00E605D5"/>
    <w:rsid w:val="00E852DC"/>
    <w:rsid w:val="00EA266E"/>
    <w:rsid w:val="00EC124C"/>
    <w:rsid w:val="00F51A71"/>
    <w:rsid w:val="00FD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644"/>
    <w:rPr>
      <w:sz w:val="16"/>
      <w:szCs w:val="16"/>
    </w:rPr>
  </w:style>
  <w:style w:type="paragraph" w:styleId="CommentText">
    <w:name w:val="annotation text"/>
    <w:basedOn w:val="Normal"/>
    <w:link w:val="CommentTextChar"/>
    <w:uiPriority w:val="99"/>
    <w:semiHidden/>
    <w:unhideWhenUsed/>
    <w:rsid w:val="00E45644"/>
    <w:rPr>
      <w:sz w:val="20"/>
      <w:szCs w:val="20"/>
    </w:rPr>
  </w:style>
  <w:style w:type="character" w:customStyle="1" w:styleId="CommentTextChar">
    <w:name w:val="Comment Text Char"/>
    <w:basedOn w:val="DefaultParagraphFont"/>
    <w:link w:val="CommentText"/>
    <w:uiPriority w:val="99"/>
    <w:semiHidden/>
    <w:rsid w:val="00E456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5644"/>
    <w:rPr>
      <w:b/>
      <w:bCs/>
    </w:rPr>
  </w:style>
  <w:style w:type="character" w:customStyle="1" w:styleId="CommentSubjectChar">
    <w:name w:val="Comment Subject Char"/>
    <w:basedOn w:val="CommentTextChar"/>
    <w:link w:val="CommentSubject"/>
    <w:uiPriority w:val="99"/>
    <w:semiHidden/>
    <w:rsid w:val="00E456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5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44"/>
    <w:rPr>
      <w:rFonts w:ascii="Segoe UI" w:eastAsia="Times New Roman" w:hAnsi="Segoe UI" w:cs="Segoe UI"/>
      <w:sz w:val="18"/>
      <w:szCs w:val="18"/>
    </w:rPr>
  </w:style>
  <w:style w:type="table" w:styleId="TableGrid">
    <w:name w:val="Table Grid"/>
    <w:basedOn w:val="TableNormal"/>
    <w:uiPriority w:val="59"/>
    <w:rsid w:val="005E5747"/>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77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B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644"/>
    <w:rPr>
      <w:sz w:val="16"/>
      <w:szCs w:val="16"/>
    </w:rPr>
  </w:style>
  <w:style w:type="paragraph" w:styleId="CommentText">
    <w:name w:val="annotation text"/>
    <w:basedOn w:val="Normal"/>
    <w:link w:val="CommentTextChar"/>
    <w:uiPriority w:val="99"/>
    <w:semiHidden/>
    <w:unhideWhenUsed/>
    <w:rsid w:val="00E45644"/>
    <w:rPr>
      <w:sz w:val="20"/>
      <w:szCs w:val="20"/>
    </w:rPr>
  </w:style>
  <w:style w:type="character" w:customStyle="1" w:styleId="CommentTextChar">
    <w:name w:val="Comment Text Char"/>
    <w:basedOn w:val="DefaultParagraphFont"/>
    <w:link w:val="CommentText"/>
    <w:uiPriority w:val="99"/>
    <w:semiHidden/>
    <w:rsid w:val="00E456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5644"/>
    <w:rPr>
      <w:b/>
      <w:bCs/>
    </w:rPr>
  </w:style>
  <w:style w:type="character" w:customStyle="1" w:styleId="CommentSubjectChar">
    <w:name w:val="Comment Subject Char"/>
    <w:basedOn w:val="CommentTextChar"/>
    <w:link w:val="CommentSubject"/>
    <w:uiPriority w:val="99"/>
    <w:semiHidden/>
    <w:rsid w:val="00E456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45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644"/>
    <w:rPr>
      <w:rFonts w:ascii="Segoe UI" w:eastAsia="Times New Roman" w:hAnsi="Segoe UI" w:cs="Segoe UI"/>
      <w:sz w:val="18"/>
      <w:szCs w:val="18"/>
    </w:rPr>
  </w:style>
  <w:style w:type="table" w:styleId="TableGrid">
    <w:name w:val="Table Grid"/>
    <w:basedOn w:val="TableNormal"/>
    <w:uiPriority w:val="59"/>
    <w:rsid w:val="005E5747"/>
    <w:pPr>
      <w:spacing w:after="0" w:line="240" w:lineRule="auto"/>
    </w:pPr>
    <w:rPr>
      <w:lang w:val="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7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2995</Characters>
  <Application>Microsoft Office Word</Application>
  <DocSecurity>0</DocSecurity>
  <Lines>24</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CABACABA</dc:creator>
  <cp:lastModifiedBy>Alara Ataç</cp:lastModifiedBy>
  <cp:revision>3</cp:revision>
  <cp:lastPrinted>2023-06-08T12:48:00Z</cp:lastPrinted>
  <dcterms:created xsi:type="dcterms:W3CDTF">2023-10-24T08:28:00Z</dcterms:created>
  <dcterms:modified xsi:type="dcterms:W3CDTF">2023-10-24T08:32:00Z</dcterms:modified>
</cp:coreProperties>
</file>