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96" w:rsidRPr="00882F96" w:rsidRDefault="00882F96" w:rsidP="00882F96">
      <w:pPr>
        <w:autoSpaceDN w:val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2F96">
        <w:rPr>
          <w:rFonts w:ascii="Times New Roman" w:eastAsia="Times New Roman" w:hAnsi="Times New Roman" w:cs="Times New Roman"/>
          <w:sz w:val="24"/>
          <w:szCs w:val="24"/>
          <w:lang w:eastAsia="tr-TR"/>
        </w:rPr>
        <w:t>Kuzey Kıbrıs Türk Cumhuriyeti Cumhuriyet Meclisi’nin 11 Ağustos 2020 tarihli Yedinci Olağanüstü Birleşiminde Oybirliğiyle kabul olunan “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Konut Edindirme (Değişiklik)</w:t>
      </w:r>
      <w:r w:rsidRPr="00882F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Yasası” Anayasanın 94’üncü maddesinin (l)’inci fıkrası gereğince Kuzey Kıbrıs Türk Cumhuriyeti Cumhurbaşkanı tarafından Resmi </w:t>
      </w:r>
      <w:proofErr w:type="spellStart"/>
      <w:r w:rsidRPr="00882F96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882F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yayımlanmak suretiyle ilan olunur. </w:t>
      </w:r>
    </w:p>
    <w:p w:rsidR="00874FEC" w:rsidRPr="00874FEC" w:rsidRDefault="00874FEC" w:rsidP="00874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2"/>
        <w:gridCol w:w="204"/>
        <w:gridCol w:w="538"/>
        <w:gridCol w:w="1134"/>
        <w:gridCol w:w="1134"/>
        <w:gridCol w:w="567"/>
        <w:gridCol w:w="3935"/>
      </w:tblGrid>
      <w:tr w:rsidR="00874FEC" w:rsidRPr="00874FEC" w:rsidTr="00874FEC">
        <w:tc>
          <w:tcPr>
            <w:tcW w:w="9288" w:type="dxa"/>
            <w:gridSpan w:val="8"/>
          </w:tcPr>
          <w:p w:rsidR="00874FEC" w:rsidRDefault="00874FEC" w:rsidP="00874FEC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KONUT EDİN</w:t>
            </w:r>
            <w:r w:rsidR="00F524D9">
              <w:rPr>
                <w:rFonts w:ascii="Times New Roman" w:eastAsia="Times New Roman" w:hAnsi="Times New Roman"/>
                <w:noProof/>
                <w:sz w:val="24"/>
                <w:szCs w:val="24"/>
              </w:rPr>
              <w:t>DİRME (DEĞİŞİKLİK) YASASI</w:t>
            </w:r>
          </w:p>
          <w:p w:rsidR="00882F96" w:rsidRDefault="00882F96" w:rsidP="00874FEC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882F96" w:rsidRDefault="00882F96" w:rsidP="00874FEC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Sayı:47/2020</w:t>
            </w:r>
            <w:bookmarkStart w:id="0" w:name="_GoBack"/>
            <w:bookmarkEnd w:id="0"/>
          </w:p>
          <w:p w:rsidR="00882F96" w:rsidRPr="00874FEC" w:rsidRDefault="00882F96" w:rsidP="00874FEC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874FEC" w:rsidRPr="00874FEC" w:rsidRDefault="00874FEC" w:rsidP="00874FEC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874FEC" w:rsidRPr="00874FEC" w:rsidTr="00874FEC">
        <w:tc>
          <w:tcPr>
            <w:tcW w:w="9288" w:type="dxa"/>
            <w:gridSpan w:val="8"/>
            <w:hideMark/>
          </w:tcPr>
          <w:p w:rsidR="00874FEC" w:rsidRPr="00874FEC" w:rsidRDefault="00874FEC" w:rsidP="00874FEC">
            <w:pPr>
              <w:ind w:right="20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                   Kuzey Kıbrıs Türk Cumhuriyeti Cumhuriyet Meclisi aşağıdaki Yasayı yapar:</w:t>
            </w:r>
          </w:p>
          <w:p w:rsidR="00874FEC" w:rsidRPr="00874FEC" w:rsidRDefault="00874FEC" w:rsidP="00874FEC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874FEC" w:rsidRPr="00874FEC" w:rsidTr="00874FEC">
        <w:tc>
          <w:tcPr>
            <w:tcW w:w="1776" w:type="dxa"/>
            <w:gridSpan w:val="2"/>
          </w:tcPr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Kısa İsim</w:t>
            </w:r>
          </w:p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63/2007</w:t>
            </w:r>
          </w:p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5/2010     </w:t>
            </w:r>
          </w:p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3/2016  </w:t>
            </w:r>
          </w:p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22/2018</w:t>
            </w:r>
          </w:p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gridSpan w:val="6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1. Bu Yasa, Konut Edindirme (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Değişiklik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isimlendirilir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aşağıda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Esas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anılan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onut</w:t>
            </w:r>
            <w:proofErr w:type="spellEnd"/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Edindirme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birlikte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okunur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74FEC" w:rsidRPr="00874FEC" w:rsidTr="00874FEC">
        <w:tc>
          <w:tcPr>
            <w:tcW w:w="1776" w:type="dxa"/>
            <w:gridSpan w:val="2"/>
            <w:hideMark/>
          </w:tcPr>
          <w:p w:rsidR="00874FEC" w:rsidRPr="00874FEC" w:rsidRDefault="00874FEC" w:rsidP="00874FEC">
            <w:pPr>
              <w:ind w:right="198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Esas Yasanın Geçici 1’inci Maddesinin Değiştirilmesi</w:t>
            </w:r>
          </w:p>
        </w:tc>
        <w:tc>
          <w:tcPr>
            <w:tcW w:w="7512" w:type="dxa"/>
            <w:gridSpan w:val="6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2. Esas Yasa, Geçici 1’inci Maddesi kaldırılmak ve yerine aşağıdaki yeni Geçici 1’inci Madde konmak suretiyle değiştirilir:</w:t>
            </w:r>
          </w:p>
        </w:tc>
      </w:tr>
      <w:tr w:rsidR="00874FEC" w:rsidRPr="00874FEC" w:rsidTr="00710B59">
        <w:tc>
          <w:tcPr>
            <w:tcW w:w="1776" w:type="dxa"/>
            <w:gridSpan w:val="2"/>
          </w:tcPr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gridSpan w:val="3"/>
          </w:tcPr>
          <w:p w:rsidR="00371E6D" w:rsidRDefault="00371E6D" w:rsidP="00371E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“Geçici</w:t>
            </w:r>
          </w:p>
          <w:p w:rsidR="00874FEC" w:rsidRPr="00874FEC" w:rsidRDefault="00371E6D" w:rsidP="00371E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Madde</w:t>
            </w:r>
          </w:p>
          <w:p w:rsidR="00874FEC" w:rsidRPr="00874FEC" w:rsidRDefault="00371E6D" w:rsidP="00371E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Dağıtılan</w:t>
            </w:r>
          </w:p>
          <w:p w:rsidR="00874FEC" w:rsidRPr="00874FEC" w:rsidRDefault="00371E6D" w:rsidP="00371E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Kırsal</w:t>
            </w:r>
          </w:p>
          <w:p w:rsidR="00874FEC" w:rsidRPr="00874FEC" w:rsidRDefault="00371E6D" w:rsidP="00371E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Kesim</w:t>
            </w:r>
          </w:p>
          <w:p w:rsidR="00874FEC" w:rsidRPr="00874FEC" w:rsidRDefault="00371E6D" w:rsidP="00371E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Arsalarının</w:t>
            </w:r>
          </w:p>
          <w:p w:rsidR="00874FEC" w:rsidRPr="00874FEC" w:rsidRDefault="00371E6D" w:rsidP="00371E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Denetimi ve</w:t>
            </w:r>
          </w:p>
          <w:p w:rsidR="00874FEC" w:rsidRPr="00874FEC" w:rsidRDefault="00371E6D" w:rsidP="00371E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874FEC"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Satışı</w:t>
            </w:r>
          </w:p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567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(1)</w:t>
            </w:r>
          </w:p>
        </w:tc>
        <w:tc>
          <w:tcPr>
            <w:tcW w:w="3935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yürürlükten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kaldırılan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Sosyal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Yasası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kapsamında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sahiplerine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dağıtılan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kırsal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kesim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arsalarının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16’ncı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maddesinde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öngörülen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yöntemle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tespit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edilen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arsa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satış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bedeli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karşılığında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18’inci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maddesinde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öngörülen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yöntemle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inşaatını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bitiren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başlayan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sahiplerine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satışı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gerçekleştirilir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İdare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inşaatını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bitiren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başlayan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sahiplerine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arsaların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satışlarını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Değişiklik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Yasasının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tarihten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başlayarak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iki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yıl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içerisinde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gerçekleştirir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Bu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süre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içerisinde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satış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senedi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mukavelesini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imzalamayan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sahiplerinin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sahipliliğinin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düşürülmesi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için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İdare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tarafından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derhal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işlem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başlatılır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74FEC" w:rsidRPr="00874FEC" w:rsidTr="00710B59">
        <w:tc>
          <w:tcPr>
            <w:tcW w:w="1776" w:type="dxa"/>
            <w:gridSpan w:val="2"/>
          </w:tcPr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gridSpan w:val="3"/>
          </w:tcPr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A60" w:rsidRDefault="00E94A60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94A60" w:rsidRDefault="00E94A60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94A60" w:rsidRDefault="00E94A60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94A60" w:rsidRDefault="00E94A60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41/1977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5/1981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 27/1982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23/1985 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3/1988  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12/1989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44/1990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24/1991   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53/1991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17/1992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6/1994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52/1995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39/1998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28/2014     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55/2014     </w:t>
            </w:r>
          </w:p>
          <w:p w:rsidR="00874FEC" w:rsidRPr="00874FEC" w:rsidRDefault="00874FEC" w:rsidP="00411FB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24/2018</w:t>
            </w:r>
          </w:p>
        </w:tc>
        <w:tc>
          <w:tcPr>
            <w:tcW w:w="567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lastRenderedPageBreak/>
              <w:t>(2)</w:t>
            </w:r>
          </w:p>
        </w:tc>
        <w:tc>
          <w:tcPr>
            <w:tcW w:w="3935" w:type="dxa"/>
            <w:hideMark/>
          </w:tcPr>
          <w:p w:rsidR="00874FEC" w:rsidRPr="00874FEC" w:rsidRDefault="00874FEC" w:rsidP="00EE12E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madde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tahtında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satışı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gerçekleşen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arsaların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satış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bedellerinin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% 50 (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yüzde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elli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)’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İdareye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kaydedilir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% 50 (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yüzde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elli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)’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İdare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Maliye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Bakanlığında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İskan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6B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Topraklandırma</w:t>
            </w:r>
            <w:proofErr w:type="spellEnd"/>
            <w:r w:rsidR="00306B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6B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="00306B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6B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Eşdeğer</w:t>
            </w:r>
            <w:proofErr w:type="spellEnd"/>
            <w:r w:rsidR="00306B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Mal</w:t>
            </w:r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Yasasında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belirlenen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eşdeğer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malların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tazmini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hesabına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yatırılır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74FEC" w:rsidRPr="00874FEC" w:rsidTr="00710B59">
        <w:tc>
          <w:tcPr>
            <w:tcW w:w="1776" w:type="dxa"/>
            <w:gridSpan w:val="2"/>
          </w:tcPr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(3)</w:t>
            </w:r>
          </w:p>
        </w:tc>
        <w:tc>
          <w:tcPr>
            <w:tcW w:w="4502" w:type="dxa"/>
            <w:gridSpan w:val="2"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Kırsal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kesim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kapsamında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olmayan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bölgelerde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Yasanın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önce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proje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arsa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alanların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işlemleri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boşta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kalan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arsalar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kırsal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kesim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bölgesi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edilen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bölgelerde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uygulanacak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kurallara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tabidir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.”</w:t>
            </w:r>
          </w:p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74FEC" w:rsidRPr="00874FEC" w:rsidTr="00371E6D">
        <w:tc>
          <w:tcPr>
            <w:tcW w:w="1384" w:type="dxa"/>
            <w:hideMark/>
          </w:tcPr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Geçici Madde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 xml:space="preserve">Gecikmiş Taksit Borcu 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gramEnd"/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 xml:space="preserve"> Gecikme Faizlerini</w:t>
            </w:r>
          </w:p>
          <w:p w:rsidR="00874FEC" w:rsidRPr="00874FEC" w:rsidRDefault="00874FEC" w:rsidP="00874F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gramEnd"/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 xml:space="preserve">/veya Gecikme </w:t>
            </w:r>
          </w:p>
          <w:p w:rsidR="00874FEC" w:rsidRPr="00874FEC" w:rsidRDefault="001F2AD7" w:rsidP="00D761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>Zamlarını</w:t>
            </w:r>
          </w:p>
        </w:tc>
        <w:tc>
          <w:tcPr>
            <w:tcW w:w="596" w:type="dxa"/>
            <w:gridSpan w:val="2"/>
            <w:hideMark/>
          </w:tcPr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538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(1)</w:t>
            </w:r>
          </w:p>
        </w:tc>
        <w:tc>
          <w:tcPr>
            <w:tcW w:w="6770" w:type="dxa"/>
            <w:gridSpan w:val="4"/>
          </w:tcPr>
          <w:p w:rsidR="00874FEC" w:rsidRPr="00874FEC" w:rsidRDefault="00874FEC" w:rsidP="001F2A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Esas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yürürlükten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kaldırılan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uyarınca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kırsal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kesim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kredisi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sahipleri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herhangi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nedenle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4C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Esas</w:t>
            </w:r>
            <w:proofErr w:type="spellEnd"/>
            <w:r w:rsidR="00494C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Yasanın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tarihe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kadar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ödeyemedikleri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taksit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borçlarının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tümünü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Değişiklik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Yasasının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tarih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itibarı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tahakkuk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eden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gecikme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faizlerinin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veya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gecikme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zamlarının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% 95 (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yüzde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doksan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beş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)’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bağışlanarak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geriye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kalan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% 5 (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yüzde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beş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)’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kısmını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Değişiklik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Yasasının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iki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içerisinde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Edindirme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İdaresi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hazırlanacak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mukaveleyi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imzalayarak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öder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74FEC" w:rsidRPr="00874FEC" w:rsidTr="00371E6D">
        <w:tc>
          <w:tcPr>
            <w:tcW w:w="1384" w:type="dxa"/>
          </w:tcPr>
          <w:p w:rsidR="00874FEC" w:rsidRPr="00874FEC" w:rsidRDefault="00874FEC" w:rsidP="001F2A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="001F2AD7" w:rsidRPr="00874FEC">
              <w:rPr>
                <w:rFonts w:ascii="Times New Roman" w:eastAsia="Times New Roman" w:hAnsi="Times New Roman"/>
                <w:sz w:val="24"/>
                <w:szCs w:val="24"/>
              </w:rPr>
              <w:t>Ödeme Şekli</w:t>
            </w:r>
          </w:p>
        </w:tc>
        <w:tc>
          <w:tcPr>
            <w:tcW w:w="596" w:type="dxa"/>
            <w:gridSpan w:val="2"/>
          </w:tcPr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(2)</w:t>
            </w:r>
          </w:p>
        </w:tc>
        <w:tc>
          <w:tcPr>
            <w:tcW w:w="6770" w:type="dxa"/>
            <w:gridSpan w:val="4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Sosyal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Yasası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uyarınca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sosyal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kırsal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kesim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kredisi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alan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sahipleri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herhangi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nedenle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Esas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tarihten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sonra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ödeyemedikleri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taksit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borçlarının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tümünü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mukavele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imza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tarihine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kadar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tahakkuk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gecikme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faizlerinin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gecikme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zamlarının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% 90 (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yüzde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doksan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)’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bağışlanarak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geriye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kalan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% 10 (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yüzde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on)’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luk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kısmını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Değişiklik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Yasasının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tarihten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başlayarak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iki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yıl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içerisinde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öder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74FEC" w:rsidRPr="00874FEC" w:rsidTr="00371E6D">
        <w:tc>
          <w:tcPr>
            <w:tcW w:w="1384" w:type="dxa"/>
          </w:tcPr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874FEC" w:rsidRPr="00874FEC" w:rsidRDefault="00874FEC" w:rsidP="00874FEC">
            <w:pPr>
              <w:ind w:right="20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hideMark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(3)</w:t>
            </w:r>
          </w:p>
        </w:tc>
        <w:tc>
          <w:tcPr>
            <w:tcW w:w="6770" w:type="dxa"/>
            <w:gridSpan w:val="4"/>
          </w:tcPr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madde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kuralları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Değişiklik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Yasasının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yürürlüğe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girdiği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tarihte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sosyal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konut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kırsal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kesim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kredi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borcu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olanlara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uygulanır</w:t>
            </w:r>
            <w:proofErr w:type="spellEnd"/>
            <w:r w:rsidRPr="00874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4FEC" w:rsidRPr="00874FEC" w:rsidRDefault="00874FEC" w:rsidP="00874F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4FEC" w:rsidRPr="00874FEC" w:rsidTr="00371E6D">
        <w:tc>
          <w:tcPr>
            <w:tcW w:w="1384" w:type="dxa"/>
            <w:hideMark/>
          </w:tcPr>
          <w:p w:rsidR="00874FEC" w:rsidRPr="00874FEC" w:rsidRDefault="00874FEC" w:rsidP="00874F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FEC">
              <w:rPr>
                <w:rFonts w:ascii="Times New Roman" w:eastAsia="Times New Roman" w:hAnsi="Times New Roman"/>
                <w:bCs/>
                <w:sz w:val="24"/>
                <w:szCs w:val="24"/>
              </w:rPr>
              <w:t>Yürürlüğe Giriş</w:t>
            </w:r>
          </w:p>
        </w:tc>
        <w:tc>
          <w:tcPr>
            <w:tcW w:w="7904" w:type="dxa"/>
            <w:gridSpan w:val="7"/>
            <w:hideMark/>
          </w:tcPr>
          <w:p w:rsidR="00874FEC" w:rsidRPr="00874FEC" w:rsidRDefault="00874FEC" w:rsidP="00874FEC">
            <w:pPr>
              <w:ind w:right="19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FEC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2. </w:t>
            </w:r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 xml:space="preserve">Bu Yasa, Resmi </w:t>
            </w:r>
            <w:proofErr w:type="spellStart"/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>Gazete'de</w:t>
            </w:r>
            <w:proofErr w:type="spellEnd"/>
            <w:r w:rsidRPr="00874FEC">
              <w:rPr>
                <w:rFonts w:ascii="Times New Roman" w:eastAsia="Times New Roman" w:hAnsi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874FEC" w:rsidRPr="00874FEC" w:rsidRDefault="00874FEC" w:rsidP="0087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4FEC" w:rsidRPr="00874FEC" w:rsidRDefault="00874FEC" w:rsidP="0087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4FEC" w:rsidRPr="00874FEC" w:rsidRDefault="00874FEC" w:rsidP="0087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4FEC" w:rsidRPr="00874FEC" w:rsidRDefault="00874FEC" w:rsidP="0087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A46" w:rsidRDefault="00070A46" w:rsidP="00070A46">
      <w:pPr>
        <w:rPr>
          <w:rFonts w:ascii="Times New Roman" w:hAnsi="Times New Roman" w:cs="Times New Roman"/>
          <w:sz w:val="26"/>
          <w:szCs w:val="26"/>
        </w:rPr>
      </w:pPr>
    </w:p>
    <w:sectPr w:rsidR="0007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6"/>
    <w:rsid w:val="00070A46"/>
    <w:rsid w:val="001F2AD7"/>
    <w:rsid w:val="00306B88"/>
    <w:rsid w:val="00371E6D"/>
    <w:rsid w:val="003828C2"/>
    <w:rsid w:val="003A1EC6"/>
    <w:rsid w:val="00411FBD"/>
    <w:rsid w:val="00494CE2"/>
    <w:rsid w:val="004E1C83"/>
    <w:rsid w:val="005365AC"/>
    <w:rsid w:val="00582C9D"/>
    <w:rsid w:val="00710B59"/>
    <w:rsid w:val="007707A9"/>
    <w:rsid w:val="00783870"/>
    <w:rsid w:val="007B36F9"/>
    <w:rsid w:val="007F1CF5"/>
    <w:rsid w:val="0083709F"/>
    <w:rsid w:val="00874FEC"/>
    <w:rsid w:val="00882F96"/>
    <w:rsid w:val="008A0977"/>
    <w:rsid w:val="00934735"/>
    <w:rsid w:val="009A563C"/>
    <w:rsid w:val="009B6DD7"/>
    <w:rsid w:val="00A017BB"/>
    <w:rsid w:val="00BD1EBE"/>
    <w:rsid w:val="00C936BE"/>
    <w:rsid w:val="00D6558F"/>
    <w:rsid w:val="00D76198"/>
    <w:rsid w:val="00E94A60"/>
    <w:rsid w:val="00EE12EF"/>
    <w:rsid w:val="00F524D9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9F8B-6580-42C0-950F-84A2450A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Sarıkamış</dc:creator>
  <cp:lastModifiedBy>Pınar Atakara</cp:lastModifiedBy>
  <cp:revision>2</cp:revision>
  <cp:lastPrinted>2020-08-11T17:52:00Z</cp:lastPrinted>
  <dcterms:created xsi:type="dcterms:W3CDTF">2020-08-27T13:57:00Z</dcterms:created>
  <dcterms:modified xsi:type="dcterms:W3CDTF">2020-08-27T13:57:00Z</dcterms:modified>
</cp:coreProperties>
</file>