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7206" w14:textId="3665D610" w:rsidR="00A56120" w:rsidRPr="00A56120" w:rsidRDefault="00A56120" w:rsidP="00A56120">
      <w:pPr>
        <w:jc w:val="both"/>
        <w:rPr>
          <w:rFonts w:ascii="Times New Roman" w:hAnsi="Times New Roman" w:cs="Times New Roman"/>
          <w:sz w:val="24"/>
          <w:szCs w:val="24"/>
          <w:lang w:val="tr-TR"/>
        </w:rPr>
      </w:pPr>
      <w:r w:rsidRPr="00A56120">
        <w:rPr>
          <w:rFonts w:ascii="Times New Roman" w:hAnsi="Times New Roman" w:cs="Times New Roman"/>
          <w:sz w:val="24"/>
          <w:szCs w:val="24"/>
          <w:lang w:val="tr-TR"/>
        </w:rPr>
        <w:t xml:space="preserve">Kuzey Kıbrıs Türk Cumhuriyeti Cumhuriyet Meclisi'nin 22 Nisan 2024 tarihli </w:t>
      </w:r>
      <w:r>
        <w:rPr>
          <w:rFonts w:ascii="Times New Roman" w:hAnsi="Times New Roman" w:cs="Times New Roman"/>
          <w:sz w:val="24"/>
          <w:szCs w:val="24"/>
          <w:lang w:val="tr-TR"/>
        </w:rPr>
        <w:t>Elli B</w:t>
      </w:r>
      <w:r w:rsidRPr="00A56120">
        <w:rPr>
          <w:rFonts w:ascii="Times New Roman" w:hAnsi="Times New Roman" w:cs="Times New Roman"/>
          <w:sz w:val="24"/>
          <w:szCs w:val="24"/>
          <w:lang w:val="tr-TR"/>
        </w:rPr>
        <w:t xml:space="preserve">irinci Birleşiminde Oyçokluğuyla kabul olunan "Şans Oyunları Hizmetleri Vergisi (Değişiklik) Yasası" Anayasanın 94'üncü maddesinin (l)'inci fıkrası gereğince Kuzey Kıbrıs Türk Cumhuriyeti Cumhurbaşkanı tarafından Resmi </w:t>
      </w:r>
      <w:proofErr w:type="spellStart"/>
      <w:r w:rsidRPr="00A56120">
        <w:rPr>
          <w:rFonts w:ascii="Times New Roman" w:hAnsi="Times New Roman" w:cs="Times New Roman"/>
          <w:sz w:val="24"/>
          <w:szCs w:val="24"/>
          <w:lang w:val="tr-TR"/>
        </w:rPr>
        <w:t>Gazete'de</w:t>
      </w:r>
      <w:proofErr w:type="spellEnd"/>
      <w:r w:rsidRPr="00A56120">
        <w:rPr>
          <w:rFonts w:ascii="Times New Roman" w:hAnsi="Times New Roman" w:cs="Times New Roman"/>
          <w:sz w:val="24"/>
          <w:szCs w:val="24"/>
          <w:lang w:val="tr-TR"/>
        </w:rPr>
        <w:t xml:space="preserve"> yayımlanmak suretiyle ilan olunur.</w:t>
      </w:r>
    </w:p>
    <w:p w14:paraId="3061B039" w14:textId="6BC97528" w:rsidR="00AB36AA" w:rsidRPr="00A56120" w:rsidRDefault="00A56120" w:rsidP="00A56120">
      <w:pPr>
        <w:jc w:val="center"/>
        <w:rPr>
          <w:rFonts w:ascii="Times New Roman" w:hAnsi="Times New Roman" w:cs="Times New Roman"/>
          <w:sz w:val="24"/>
          <w:szCs w:val="24"/>
          <w:lang w:val="tr-TR"/>
        </w:rPr>
      </w:pPr>
      <w:r w:rsidRPr="00A56120">
        <w:rPr>
          <w:rFonts w:ascii="Times New Roman" w:hAnsi="Times New Roman" w:cs="Times New Roman"/>
          <w:sz w:val="24"/>
          <w:szCs w:val="24"/>
          <w:lang w:val="tr-TR"/>
        </w:rPr>
        <w:t>Sayı: 35/2024</w:t>
      </w:r>
    </w:p>
    <w:tbl>
      <w:tblPr>
        <w:tblStyle w:val="TabloKlavuzu"/>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8"/>
        <w:gridCol w:w="466"/>
        <w:gridCol w:w="561"/>
        <w:gridCol w:w="324"/>
        <w:gridCol w:w="541"/>
        <w:gridCol w:w="803"/>
        <w:gridCol w:w="1181"/>
        <w:gridCol w:w="4489"/>
        <w:gridCol w:w="47"/>
      </w:tblGrid>
      <w:tr w:rsidR="00AB36AA" w:rsidRPr="002A15A8" w14:paraId="6C1D9C26" w14:textId="77777777" w:rsidTr="00500067">
        <w:trPr>
          <w:gridAfter w:val="1"/>
          <w:wAfter w:w="47" w:type="dxa"/>
        </w:trPr>
        <w:tc>
          <w:tcPr>
            <w:tcW w:w="9983" w:type="dxa"/>
            <w:gridSpan w:val="8"/>
          </w:tcPr>
          <w:p w14:paraId="39373A05" w14:textId="73CB96FF" w:rsidR="00AB36AA" w:rsidRPr="006735B7" w:rsidRDefault="00AB36AA" w:rsidP="002318E3">
            <w:pPr>
              <w:jc w:val="center"/>
              <w:rPr>
                <w:rFonts w:ascii="Times New Roman" w:hAnsi="Times New Roman" w:cs="Times New Roman"/>
                <w:sz w:val="24"/>
                <w:szCs w:val="24"/>
                <w:lang w:val="tr-TR"/>
              </w:rPr>
            </w:pPr>
            <w:r w:rsidRPr="006735B7">
              <w:rPr>
                <w:rFonts w:ascii="Times New Roman" w:hAnsi="Times New Roman" w:cs="Times New Roman"/>
                <w:sz w:val="24"/>
                <w:szCs w:val="24"/>
                <w:lang w:val="tr-TR"/>
              </w:rPr>
              <w:t xml:space="preserve">ŞANS OYUNLARI HİZMETLERİ </w:t>
            </w:r>
            <w:r w:rsidR="00E22F9E">
              <w:rPr>
                <w:rFonts w:ascii="Times New Roman" w:hAnsi="Times New Roman" w:cs="Times New Roman"/>
                <w:sz w:val="24"/>
                <w:szCs w:val="24"/>
                <w:lang w:val="tr-TR"/>
              </w:rPr>
              <w:t>VERGİSİ (DEĞİŞİKLİK) YASA</w:t>
            </w:r>
            <w:r w:rsidRPr="006735B7">
              <w:rPr>
                <w:rFonts w:ascii="Times New Roman" w:hAnsi="Times New Roman" w:cs="Times New Roman"/>
                <w:sz w:val="24"/>
                <w:szCs w:val="24"/>
                <w:lang w:val="tr-TR"/>
              </w:rPr>
              <w:t>SI</w:t>
            </w:r>
          </w:p>
          <w:p w14:paraId="16B9AC8F" w14:textId="77777777" w:rsidR="00AB36AA" w:rsidRPr="002A15A8" w:rsidRDefault="00AB36AA" w:rsidP="003372E6">
            <w:pPr>
              <w:rPr>
                <w:rFonts w:ascii="Times New Roman" w:hAnsi="Times New Roman" w:cs="Times New Roman"/>
                <w:b/>
                <w:sz w:val="24"/>
                <w:szCs w:val="24"/>
                <w:lang w:val="tr-TR"/>
              </w:rPr>
            </w:pPr>
          </w:p>
        </w:tc>
      </w:tr>
      <w:tr w:rsidR="00D8301F" w:rsidRPr="002A15A8" w14:paraId="6890CC4D" w14:textId="77777777" w:rsidTr="00500067">
        <w:trPr>
          <w:gridAfter w:val="1"/>
          <w:wAfter w:w="47" w:type="dxa"/>
        </w:trPr>
        <w:tc>
          <w:tcPr>
            <w:tcW w:w="1618" w:type="dxa"/>
          </w:tcPr>
          <w:p w14:paraId="46FC5278" w14:textId="77777777" w:rsidR="00AB36AA" w:rsidRPr="002A15A8" w:rsidRDefault="00AB36AA" w:rsidP="003372E6">
            <w:pPr>
              <w:rPr>
                <w:rFonts w:ascii="Times New Roman" w:hAnsi="Times New Roman" w:cs="Times New Roman"/>
                <w:sz w:val="24"/>
                <w:szCs w:val="24"/>
                <w:lang w:val="tr-TR"/>
              </w:rPr>
            </w:pPr>
          </w:p>
        </w:tc>
        <w:tc>
          <w:tcPr>
            <w:tcW w:w="8365" w:type="dxa"/>
            <w:gridSpan w:val="7"/>
          </w:tcPr>
          <w:p w14:paraId="3A870327" w14:textId="48106DAD" w:rsidR="00AB36AA" w:rsidRPr="002A15A8" w:rsidRDefault="00A80D17" w:rsidP="00B23D0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B23D06">
              <w:rPr>
                <w:rFonts w:ascii="Times New Roman" w:hAnsi="Times New Roman" w:cs="Times New Roman"/>
                <w:sz w:val="24"/>
                <w:szCs w:val="24"/>
                <w:lang w:val="tr-TR"/>
              </w:rPr>
              <w:t xml:space="preserve">      </w:t>
            </w:r>
            <w:r w:rsidR="00AB36AA" w:rsidRPr="002A15A8">
              <w:rPr>
                <w:rFonts w:ascii="Times New Roman" w:hAnsi="Times New Roman" w:cs="Times New Roman"/>
                <w:sz w:val="24"/>
                <w:szCs w:val="24"/>
                <w:lang w:val="tr-TR"/>
              </w:rPr>
              <w:t>Kuzey Kıbrıs Türk Cumhuriyeti Cumhuriyet Meclisi aşağıdaki Yasayı yapar:</w:t>
            </w:r>
          </w:p>
        </w:tc>
      </w:tr>
      <w:tr w:rsidR="00D8301F" w:rsidRPr="002A15A8" w14:paraId="33A51443" w14:textId="77777777" w:rsidTr="00500067">
        <w:trPr>
          <w:gridAfter w:val="1"/>
          <w:wAfter w:w="47" w:type="dxa"/>
        </w:trPr>
        <w:tc>
          <w:tcPr>
            <w:tcW w:w="1618" w:type="dxa"/>
          </w:tcPr>
          <w:p w14:paraId="315EE9BB" w14:textId="77777777" w:rsidR="00B23D06" w:rsidRPr="002A15A8" w:rsidRDefault="00B23D06" w:rsidP="003372E6">
            <w:pPr>
              <w:rPr>
                <w:rFonts w:ascii="Times New Roman" w:hAnsi="Times New Roman" w:cs="Times New Roman"/>
                <w:sz w:val="24"/>
                <w:szCs w:val="24"/>
                <w:lang w:val="tr-TR"/>
              </w:rPr>
            </w:pPr>
          </w:p>
        </w:tc>
        <w:tc>
          <w:tcPr>
            <w:tcW w:w="8365" w:type="dxa"/>
            <w:gridSpan w:val="7"/>
          </w:tcPr>
          <w:p w14:paraId="213970B2" w14:textId="77777777" w:rsidR="00B23D06" w:rsidRDefault="00B23D06" w:rsidP="00B23D06">
            <w:pPr>
              <w:jc w:val="both"/>
              <w:rPr>
                <w:rFonts w:ascii="Times New Roman" w:hAnsi="Times New Roman" w:cs="Times New Roman"/>
                <w:sz w:val="24"/>
                <w:szCs w:val="24"/>
                <w:lang w:val="tr-TR"/>
              </w:rPr>
            </w:pPr>
          </w:p>
        </w:tc>
      </w:tr>
      <w:tr w:rsidR="00D8301F" w:rsidRPr="002A15A8" w14:paraId="558A012F" w14:textId="77777777" w:rsidTr="00500067">
        <w:trPr>
          <w:gridAfter w:val="1"/>
          <w:wAfter w:w="47" w:type="dxa"/>
        </w:trPr>
        <w:tc>
          <w:tcPr>
            <w:tcW w:w="1618" w:type="dxa"/>
          </w:tcPr>
          <w:p w14:paraId="15FA9DB6" w14:textId="77777777" w:rsidR="002A15A8" w:rsidRPr="002A15A8" w:rsidRDefault="002A15A8"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Kısa İsim</w:t>
            </w:r>
          </w:p>
          <w:p w14:paraId="4A810CA2" w14:textId="77777777" w:rsidR="002A15A8" w:rsidRPr="00A80D17" w:rsidRDefault="002A15A8" w:rsidP="003372E6">
            <w:pPr>
              <w:rPr>
                <w:rFonts w:ascii="Times New Roman" w:hAnsi="Times New Roman" w:cs="Times New Roman"/>
                <w:sz w:val="24"/>
                <w:szCs w:val="24"/>
                <w:lang w:val="tr-TR"/>
              </w:rPr>
            </w:pPr>
            <w:r w:rsidRPr="00A80D17">
              <w:rPr>
                <w:rFonts w:ascii="Times New Roman" w:hAnsi="Times New Roman" w:cs="Times New Roman"/>
                <w:sz w:val="24"/>
                <w:szCs w:val="24"/>
                <w:lang w:val="tr-TR"/>
              </w:rPr>
              <w:t>71/2007</w:t>
            </w:r>
          </w:p>
          <w:p w14:paraId="53CE818F" w14:textId="77777777" w:rsidR="002A15A8" w:rsidRPr="002A15A8" w:rsidRDefault="002A15A8" w:rsidP="003372E6">
            <w:pPr>
              <w:rPr>
                <w:rFonts w:ascii="Times New Roman" w:hAnsi="Times New Roman" w:cs="Times New Roman"/>
                <w:sz w:val="24"/>
                <w:szCs w:val="24"/>
                <w:lang w:val="tr-TR"/>
              </w:rPr>
            </w:pPr>
            <w:r w:rsidRPr="00A80D17">
              <w:rPr>
                <w:rFonts w:ascii="Times New Roman" w:hAnsi="Times New Roman" w:cs="Times New Roman"/>
                <w:sz w:val="24"/>
                <w:szCs w:val="24"/>
                <w:lang w:val="tr-TR"/>
              </w:rPr>
              <w:t xml:space="preserve">   44/2010</w:t>
            </w:r>
          </w:p>
        </w:tc>
        <w:tc>
          <w:tcPr>
            <w:tcW w:w="8365" w:type="dxa"/>
            <w:gridSpan w:val="7"/>
          </w:tcPr>
          <w:p w14:paraId="11F303BE" w14:textId="1A535EAF" w:rsidR="002A15A8" w:rsidRPr="002A15A8" w:rsidRDefault="002A15A8" w:rsidP="00A80D17">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1. Bu Yasa, Şans Oyunları Hizmetleri Vergisi (Değişiklik) Yasası olarak isimlendirilir ve aşağıda “Esas Yasa” olarak anılan Şans Oyunları Hizmetleri Vergisi Yasası ile birlikte okunur.</w:t>
            </w:r>
          </w:p>
          <w:p w14:paraId="32E3503D" w14:textId="77777777" w:rsidR="002A15A8" w:rsidRPr="002A15A8" w:rsidRDefault="002A15A8" w:rsidP="003372E6">
            <w:pPr>
              <w:jc w:val="both"/>
              <w:rPr>
                <w:rFonts w:ascii="Times New Roman" w:hAnsi="Times New Roman" w:cs="Times New Roman"/>
                <w:sz w:val="24"/>
                <w:szCs w:val="24"/>
                <w:lang w:val="tr-TR"/>
              </w:rPr>
            </w:pPr>
          </w:p>
        </w:tc>
      </w:tr>
      <w:tr w:rsidR="000662CA" w:rsidRPr="002A15A8" w14:paraId="551CD18E" w14:textId="77777777" w:rsidTr="00500067">
        <w:trPr>
          <w:gridAfter w:val="1"/>
          <w:wAfter w:w="47" w:type="dxa"/>
          <w:trHeight w:val="745"/>
        </w:trPr>
        <w:tc>
          <w:tcPr>
            <w:tcW w:w="1618" w:type="dxa"/>
          </w:tcPr>
          <w:p w14:paraId="2A5C5DCA" w14:textId="77777777" w:rsidR="00AB36AA" w:rsidRPr="002A15A8" w:rsidRDefault="00AB36AA"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Esas Yasanın 7’nci</w:t>
            </w:r>
          </w:p>
          <w:p w14:paraId="32D5EEEE" w14:textId="3330F269" w:rsidR="00AB36AA" w:rsidRPr="002A15A8" w:rsidRDefault="00AB36AA"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Maddesinin</w:t>
            </w:r>
          </w:p>
        </w:tc>
        <w:tc>
          <w:tcPr>
            <w:tcW w:w="466" w:type="dxa"/>
          </w:tcPr>
          <w:p w14:paraId="543BE099" w14:textId="77777777" w:rsidR="00AB36AA" w:rsidRPr="002A15A8" w:rsidRDefault="00AB36AA"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2.</w:t>
            </w:r>
          </w:p>
        </w:tc>
        <w:tc>
          <w:tcPr>
            <w:tcW w:w="561" w:type="dxa"/>
          </w:tcPr>
          <w:p w14:paraId="18243A02" w14:textId="77777777" w:rsidR="00AB36AA" w:rsidRPr="002A15A8" w:rsidRDefault="00AB36AA" w:rsidP="003372E6">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(1)</w:t>
            </w:r>
          </w:p>
        </w:tc>
        <w:tc>
          <w:tcPr>
            <w:tcW w:w="7338" w:type="dxa"/>
            <w:gridSpan w:val="5"/>
          </w:tcPr>
          <w:p w14:paraId="40D20BD5" w14:textId="11479900" w:rsidR="00AB36AA" w:rsidRPr="002A15A8" w:rsidRDefault="00E8698D" w:rsidP="00E8698D">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Esas Yasa, </w:t>
            </w:r>
            <w:r w:rsidR="00AB36AA" w:rsidRPr="002A15A8">
              <w:rPr>
                <w:rFonts w:ascii="Times New Roman" w:hAnsi="Times New Roman" w:cs="Times New Roman"/>
                <w:sz w:val="24"/>
                <w:szCs w:val="24"/>
                <w:lang w:val="tr-TR"/>
              </w:rPr>
              <w:t>7’nci maddesinin (1)’inci fıkrası kaldırılmak ve yerine aşağıdaki yeni (1)’inci fıkra konmak suretiyle değiştirilir:</w:t>
            </w:r>
          </w:p>
        </w:tc>
      </w:tr>
      <w:tr w:rsidR="000662CA" w:rsidRPr="002A15A8" w14:paraId="50E79C41" w14:textId="77777777" w:rsidTr="00500067">
        <w:trPr>
          <w:gridAfter w:val="1"/>
          <w:wAfter w:w="47" w:type="dxa"/>
        </w:trPr>
        <w:tc>
          <w:tcPr>
            <w:tcW w:w="1618" w:type="dxa"/>
          </w:tcPr>
          <w:p w14:paraId="636B0D4F" w14:textId="6C505779" w:rsidR="00A80D17" w:rsidRDefault="00A80D17" w:rsidP="003372E6">
            <w:pPr>
              <w:rPr>
                <w:rFonts w:ascii="Times New Roman" w:hAnsi="Times New Roman" w:cs="Times New Roman"/>
                <w:sz w:val="24"/>
                <w:szCs w:val="24"/>
                <w:lang w:val="tr-TR"/>
              </w:rPr>
            </w:pPr>
            <w:r w:rsidRPr="00A80D17">
              <w:rPr>
                <w:rFonts w:ascii="Times New Roman" w:hAnsi="Times New Roman" w:cs="Times New Roman"/>
                <w:sz w:val="24"/>
                <w:szCs w:val="24"/>
                <w:lang w:val="tr-TR"/>
              </w:rPr>
              <w:t>Değiştirilmesi</w:t>
            </w:r>
          </w:p>
          <w:p w14:paraId="4DA012FF" w14:textId="3707D2BB" w:rsidR="000B6621" w:rsidRPr="002A15A8" w:rsidRDefault="000B6621" w:rsidP="003372E6">
            <w:pPr>
              <w:rPr>
                <w:rFonts w:ascii="Times New Roman" w:hAnsi="Times New Roman" w:cs="Times New Roman"/>
                <w:sz w:val="24"/>
                <w:szCs w:val="24"/>
                <w:lang w:val="tr-TR"/>
              </w:rPr>
            </w:pPr>
          </w:p>
        </w:tc>
        <w:tc>
          <w:tcPr>
            <w:tcW w:w="466" w:type="dxa"/>
          </w:tcPr>
          <w:p w14:paraId="11059562" w14:textId="77777777" w:rsidR="00A80D17" w:rsidRPr="002A15A8" w:rsidRDefault="00A80D17" w:rsidP="003372E6">
            <w:pPr>
              <w:rPr>
                <w:rFonts w:ascii="Times New Roman" w:hAnsi="Times New Roman" w:cs="Times New Roman"/>
                <w:sz w:val="24"/>
                <w:szCs w:val="24"/>
                <w:lang w:val="tr-TR"/>
              </w:rPr>
            </w:pPr>
          </w:p>
        </w:tc>
        <w:tc>
          <w:tcPr>
            <w:tcW w:w="561" w:type="dxa"/>
          </w:tcPr>
          <w:p w14:paraId="1E4094CA" w14:textId="77777777" w:rsidR="00A80D17" w:rsidRPr="002A15A8" w:rsidRDefault="00A80D17" w:rsidP="003372E6">
            <w:pPr>
              <w:jc w:val="both"/>
              <w:rPr>
                <w:rFonts w:ascii="Times New Roman" w:hAnsi="Times New Roman" w:cs="Times New Roman"/>
                <w:sz w:val="24"/>
                <w:szCs w:val="24"/>
                <w:lang w:val="tr-TR"/>
              </w:rPr>
            </w:pPr>
          </w:p>
        </w:tc>
        <w:tc>
          <w:tcPr>
            <w:tcW w:w="324" w:type="dxa"/>
          </w:tcPr>
          <w:p w14:paraId="4BFA7A80" w14:textId="6ECA42EC" w:rsidR="00A80D17" w:rsidRPr="002A15A8" w:rsidRDefault="00A80D17" w:rsidP="003372E6">
            <w:pPr>
              <w:jc w:val="both"/>
              <w:rPr>
                <w:rFonts w:ascii="Times New Roman" w:hAnsi="Times New Roman" w:cs="Times New Roman"/>
                <w:sz w:val="24"/>
                <w:szCs w:val="24"/>
                <w:lang w:val="tr-TR"/>
              </w:rPr>
            </w:pPr>
          </w:p>
        </w:tc>
        <w:tc>
          <w:tcPr>
            <w:tcW w:w="1344" w:type="dxa"/>
            <w:gridSpan w:val="2"/>
          </w:tcPr>
          <w:p w14:paraId="422C1ACA" w14:textId="77777777" w:rsidR="00A80D17" w:rsidRDefault="00A80D17" w:rsidP="00256AA3">
            <w:pPr>
              <w:rPr>
                <w:rFonts w:ascii="Times New Roman" w:hAnsi="Times New Roman" w:cs="Times New Roman"/>
                <w:sz w:val="24"/>
                <w:szCs w:val="24"/>
                <w:lang w:val="tr-TR"/>
              </w:rPr>
            </w:pPr>
            <w:r>
              <w:rPr>
                <w:rFonts w:ascii="Times New Roman" w:hAnsi="Times New Roman" w:cs="Times New Roman"/>
                <w:sz w:val="24"/>
                <w:szCs w:val="24"/>
                <w:lang w:val="tr-TR"/>
              </w:rPr>
              <w:t>“</w:t>
            </w:r>
            <w:r w:rsidRPr="00A80D17">
              <w:rPr>
                <w:rFonts w:ascii="Times New Roman" w:hAnsi="Times New Roman" w:cs="Times New Roman"/>
                <w:sz w:val="24"/>
                <w:szCs w:val="24"/>
                <w:lang w:val="tr-TR"/>
              </w:rPr>
              <w:t>(1)</w:t>
            </w:r>
          </w:p>
          <w:p w14:paraId="169DE7F7" w14:textId="77777777" w:rsidR="002F7438" w:rsidRPr="002F7438" w:rsidRDefault="002F7438" w:rsidP="002F7438">
            <w:pPr>
              <w:jc w:val="both"/>
              <w:rPr>
                <w:rFonts w:ascii="Times New Roman" w:hAnsi="Times New Roman" w:cs="Times New Roman"/>
                <w:sz w:val="24"/>
                <w:szCs w:val="24"/>
                <w:lang w:val="tr-TR"/>
              </w:rPr>
            </w:pPr>
            <w:r w:rsidRPr="002F7438">
              <w:rPr>
                <w:rFonts w:ascii="Times New Roman" w:hAnsi="Times New Roman" w:cs="Times New Roman"/>
                <w:sz w:val="24"/>
                <w:szCs w:val="24"/>
                <w:lang w:val="tr-TR"/>
              </w:rPr>
              <w:t>31/2009</w:t>
            </w:r>
          </w:p>
          <w:p w14:paraId="42D8A5BA" w14:textId="77777777" w:rsidR="002F7438" w:rsidRPr="002F7438" w:rsidRDefault="002F7438" w:rsidP="002F7438">
            <w:pPr>
              <w:jc w:val="both"/>
              <w:rPr>
                <w:rFonts w:ascii="Times New Roman" w:hAnsi="Times New Roman" w:cs="Times New Roman"/>
                <w:sz w:val="24"/>
                <w:szCs w:val="24"/>
                <w:lang w:val="tr-TR"/>
              </w:rPr>
            </w:pPr>
            <w:r w:rsidRPr="002F7438">
              <w:rPr>
                <w:rFonts w:ascii="Times New Roman" w:hAnsi="Times New Roman" w:cs="Times New Roman"/>
                <w:sz w:val="24"/>
                <w:szCs w:val="24"/>
                <w:lang w:val="tr-TR"/>
              </w:rPr>
              <w:t xml:space="preserve">   57/2011</w:t>
            </w:r>
          </w:p>
          <w:p w14:paraId="0C5AB6DA" w14:textId="77777777" w:rsidR="002F7438" w:rsidRPr="002F7438" w:rsidRDefault="002F7438" w:rsidP="002F7438">
            <w:pPr>
              <w:jc w:val="both"/>
              <w:rPr>
                <w:rFonts w:ascii="Times New Roman" w:hAnsi="Times New Roman" w:cs="Times New Roman"/>
                <w:sz w:val="24"/>
                <w:szCs w:val="24"/>
                <w:lang w:val="tr-TR"/>
              </w:rPr>
            </w:pPr>
            <w:r w:rsidRPr="002F7438">
              <w:rPr>
                <w:rFonts w:ascii="Times New Roman" w:hAnsi="Times New Roman" w:cs="Times New Roman"/>
                <w:sz w:val="24"/>
                <w:szCs w:val="24"/>
                <w:lang w:val="tr-TR"/>
              </w:rPr>
              <w:t xml:space="preserve">     1/2012</w:t>
            </w:r>
          </w:p>
          <w:p w14:paraId="310C7C78" w14:textId="0F257A5A" w:rsidR="002F7438" w:rsidRDefault="002F7438" w:rsidP="002F7438">
            <w:pPr>
              <w:jc w:val="both"/>
              <w:rPr>
                <w:rFonts w:ascii="Times New Roman" w:hAnsi="Times New Roman" w:cs="Times New Roman"/>
                <w:sz w:val="24"/>
                <w:szCs w:val="24"/>
                <w:lang w:val="tr-TR"/>
              </w:rPr>
            </w:pPr>
            <w:r w:rsidRPr="002F7438">
              <w:rPr>
                <w:rFonts w:ascii="Times New Roman" w:hAnsi="Times New Roman" w:cs="Times New Roman"/>
                <w:sz w:val="24"/>
                <w:szCs w:val="24"/>
                <w:lang w:val="tr-TR"/>
              </w:rPr>
              <w:t xml:space="preserve">   38/2015</w:t>
            </w:r>
          </w:p>
          <w:p w14:paraId="470FCD34" w14:textId="77777777" w:rsidR="002F7438" w:rsidRDefault="002F7438" w:rsidP="003372E6">
            <w:pPr>
              <w:jc w:val="both"/>
              <w:rPr>
                <w:rFonts w:ascii="Times New Roman" w:hAnsi="Times New Roman" w:cs="Times New Roman"/>
                <w:sz w:val="24"/>
                <w:szCs w:val="24"/>
                <w:lang w:val="tr-TR"/>
              </w:rPr>
            </w:pPr>
          </w:p>
          <w:p w14:paraId="2E98C819" w14:textId="6F7CDBC0" w:rsidR="002F7438" w:rsidRPr="002A15A8" w:rsidRDefault="002F7438" w:rsidP="003372E6">
            <w:pPr>
              <w:jc w:val="both"/>
              <w:rPr>
                <w:rFonts w:ascii="Times New Roman" w:hAnsi="Times New Roman" w:cs="Times New Roman"/>
                <w:sz w:val="24"/>
                <w:szCs w:val="24"/>
                <w:lang w:val="tr-TR"/>
              </w:rPr>
            </w:pPr>
          </w:p>
        </w:tc>
        <w:tc>
          <w:tcPr>
            <w:tcW w:w="5670" w:type="dxa"/>
            <w:gridSpan w:val="2"/>
          </w:tcPr>
          <w:p w14:paraId="7D418400" w14:textId="77777777" w:rsidR="00973182" w:rsidRDefault="00A80D17" w:rsidP="003372E6">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Verginin matrahı, Şans Oyunları Yasası uyarınca Devletten herhangi bir şans oyununa dayalı olarak faaliyette bulunmak için işletme imtiyazı veya izni alan iş yerlerinde jeton, fiş ve benzeri araçlarla kumar veya bahis oynanması karşılığında, işletmeye ait her oyun salonu için aylık olarak elde edilen brüt gelirdir.</w:t>
            </w:r>
            <w:r>
              <w:rPr>
                <w:rFonts w:ascii="Times New Roman" w:hAnsi="Times New Roman" w:cs="Times New Roman"/>
                <w:sz w:val="24"/>
                <w:szCs w:val="24"/>
                <w:lang w:val="tr-TR"/>
              </w:rPr>
              <w:t xml:space="preserve"> </w:t>
            </w:r>
          </w:p>
          <w:p w14:paraId="00954D36" w14:textId="792E7759" w:rsidR="00A80D17" w:rsidRPr="002A15A8" w:rsidRDefault="00500067" w:rsidP="003372E6">
            <w:pPr>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A80D17" w:rsidRPr="002A15A8">
              <w:rPr>
                <w:rFonts w:ascii="Times New Roman" w:hAnsi="Times New Roman" w:cs="Times New Roman"/>
                <w:sz w:val="24"/>
                <w:szCs w:val="24"/>
                <w:lang w:val="tr-TR"/>
              </w:rPr>
              <w:t>Bu fıkra amaçları bakımından “Brüt Gelir”, brüt hasılat miktarından iade edilen veya kazananlara yapılan ödemelerin indirilmesinden sonra kalan tutarı anlatır ve bu Yasanın 10’uncu maddesindeki vergi oranı üzerinden vergilendirilir.</w:t>
            </w:r>
          </w:p>
          <w:p w14:paraId="2AC133A9" w14:textId="25AE9CC6" w:rsidR="00A80D17" w:rsidRPr="002A15A8" w:rsidRDefault="00D878A5" w:rsidP="003372E6">
            <w:pPr>
              <w:jc w:val="both"/>
              <w:rPr>
                <w:rFonts w:ascii="Times New Roman" w:hAnsi="Times New Roman" w:cs="Times New Roman"/>
                <w:sz w:val="24"/>
                <w:szCs w:val="24"/>
                <w:lang w:val="tr-TR"/>
              </w:rPr>
            </w:pPr>
            <w:r>
              <w:rPr>
                <w:rFonts w:ascii="Times New Roman" w:hAnsi="Times New Roman" w:cs="Times New Roman"/>
                <w:sz w:val="24"/>
                <w:szCs w:val="24"/>
                <w:lang w:val="tr-TR"/>
              </w:rPr>
              <w:t>Ancak her ay ödenecek vergi;</w:t>
            </w:r>
          </w:p>
        </w:tc>
      </w:tr>
      <w:tr w:rsidR="000662CA" w:rsidRPr="002A15A8" w14:paraId="63F852EF" w14:textId="77777777" w:rsidTr="00500067">
        <w:trPr>
          <w:gridAfter w:val="1"/>
          <w:wAfter w:w="47" w:type="dxa"/>
        </w:trPr>
        <w:tc>
          <w:tcPr>
            <w:tcW w:w="1618" w:type="dxa"/>
          </w:tcPr>
          <w:p w14:paraId="60625CDA" w14:textId="1CEA7AED" w:rsidR="000662CA" w:rsidRPr="002A15A8" w:rsidRDefault="000662CA" w:rsidP="003372E6">
            <w:pPr>
              <w:rPr>
                <w:rFonts w:ascii="Times New Roman" w:hAnsi="Times New Roman" w:cs="Times New Roman"/>
                <w:sz w:val="24"/>
                <w:szCs w:val="24"/>
                <w:lang w:val="tr-TR"/>
              </w:rPr>
            </w:pPr>
          </w:p>
        </w:tc>
        <w:tc>
          <w:tcPr>
            <w:tcW w:w="466" w:type="dxa"/>
          </w:tcPr>
          <w:p w14:paraId="3890FEF9" w14:textId="77777777" w:rsidR="000662CA" w:rsidRPr="002A15A8" w:rsidRDefault="000662CA" w:rsidP="003372E6">
            <w:pPr>
              <w:rPr>
                <w:rFonts w:ascii="Times New Roman" w:hAnsi="Times New Roman" w:cs="Times New Roman"/>
                <w:sz w:val="24"/>
                <w:szCs w:val="24"/>
                <w:lang w:val="tr-TR"/>
              </w:rPr>
            </w:pPr>
          </w:p>
        </w:tc>
        <w:tc>
          <w:tcPr>
            <w:tcW w:w="561" w:type="dxa"/>
          </w:tcPr>
          <w:p w14:paraId="2D925FE3" w14:textId="77777777" w:rsidR="000662CA" w:rsidRPr="002A15A8" w:rsidRDefault="000662CA" w:rsidP="003372E6">
            <w:pPr>
              <w:rPr>
                <w:rFonts w:ascii="Times New Roman" w:hAnsi="Times New Roman" w:cs="Times New Roman"/>
                <w:sz w:val="24"/>
                <w:szCs w:val="24"/>
                <w:lang w:val="tr-TR"/>
              </w:rPr>
            </w:pPr>
          </w:p>
        </w:tc>
        <w:tc>
          <w:tcPr>
            <w:tcW w:w="324" w:type="dxa"/>
          </w:tcPr>
          <w:p w14:paraId="6A039A62" w14:textId="77777777" w:rsidR="000662CA" w:rsidRPr="002A15A8" w:rsidRDefault="000662CA" w:rsidP="000662CA">
            <w:pPr>
              <w:jc w:val="both"/>
              <w:rPr>
                <w:rFonts w:ascii="Times New Roman" w:hAnsi="Times New Roman" w:cs="Times New Roman"/>
                <w:sz w:val="24"/>
                <w:szCs w:val="24"/>
                <w:lang w:val="tr-TR"/>
              </w:rPr>
            </w:pPr>
          </w:p>
        </w:tc>
        <w:tc>
          <w:tcPr>
            <w:tcW w:w="1344" w:type="dxa"/>
            <w:gridSpan w:val="2"/>
          </w:tcPr>
          <w:p w14:paraId="6375619A" w14:textId="07E1A1AA" w:rsidR="000662CA" w:rsidRPr="002A15A8" w:rsidRDefault="000662CA" w:rsidP="000662CA">
            <w:pPr>
              <w:jc w:val="both"/>
              <w:rPr>
                <w:rFonts w:ascii="Times New Roman" w:hAnsi="Times New Roman" w:cs="Times New Roman"/>
                <w:sz w:val="24"/>
                <w:szCs w:val="24"/>
                <w:lang w:val="tr-TR"/>
              </w:rPr>
            </w:pPr>
          </w:p>
        </w:tc>
        <w:tc>
          <w:tcPr>
            <w:tcW w:w="1181" w:type="dxa"/>
          </w:tcPr>
          <w:p w14:paraId="76039F71" w14:textId="7F6EDE3C" w:rsidR="000662CA" w:rsidRDefault="00A157BF" w:rsidP="001908D1">
            <w:pPr>
              <w:ind w:right="-108"/>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 xml:space="preserve">    </w:t>
            </w:r>
            <w:r w:rsidR="000662CA" w:rsidRPr="002A15A8">
              <w:rPr>
                <w:rFonts w:ascii="Times New Roman" w:hAnsi="Times New Roman" w:cs="Times New Roman"/>
                <w:sz w:val="24"/>
                <w:szCs w:val="24"/>
                <w:lang w:val="tr-TR"/>
              </w:rPr>
              <w:t>(A)</w:t>
            </w:r>
          </w:p>
          <w:p w14:paraId="4344A6CB" w14:textId="77777777" w:rsidR="001908D1" w:rsidRPr="000662CA" w:rsidRDefault="001908D1" w:rsidP="001908D1">
            <w:pPr>
              <w:ind w:right="-108"/>
              <w:jc w:val="both"/>
              <w:rPr>
                <w:rFonts w:ascii="Times New Roman" w:hAnsi="Times New Roman" w:cs="Times New Roman"/>
                <w:sz w:val="24"/>
                <w:szCs w:val="24"/>
                <w:lang w:val="tr-TR"/>
              </w:rPr>
            </w:pPr>
            <w:r w:rsidRPr="000662CA">
              <w:rPr>
                <w:rFonts w:ascii="Times New Roman" w:hAnsi="Times New Roman" w:cs="Times New Roman"/>
                <w:sz w:val="24"/>
                <w:szCs w:val="24"/>
                <w:lang w:val="tr-TR"/>
              </w:rPr>
              <w:t>24/1982</w:t>
            </w:r>
          </w:p>
          <w:p w14:paraId="3BBF82E0"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11/1985</w:t>
            </w:r>
          </w:p>
          <w:p w14:paraId="3D0CB001"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67/1987</w:t>
            </w:r>
          </w:p>
          <w:p w14:paraId="2AC8EE08"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16/1989</w:t>
            </w:r>
          </w:p>
          <w:p w14:paraId="7960704F"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20/1990</w:t>
            </w:r>
          </w:p>
          <w:p w14:paraId="03C18AE0"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22/1991</w:t>
            </w:r>
          </w:p>
          <w:p w14:paraId="32F976BD"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14/1992</w:t>
            </w:r>
          </w:p>
          <w:p w14:paraId="274CEF74"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20/1992</w:t>
            </w:r>
          </w:p>
          <w:p w14:paraId="4D8AF0DC"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69/1993</w:t>
            </w:r>
          </w:p>
          <w:p w14:paraId="6646F8D8"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21/1995</w:t>
            </w:r>
          </w:p>
          <w:p w14:paraId="4BC556E7"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1/1997</w:t>
            </w:r>
          </w:p>
          <w:p w14:paraId="6CA3ACFD"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4/1998</w:t>
            </w:r>
          </w:p>
          <w:p w14:paraId="5E305447"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16/1998</w:t>
            </w:r>
          </w:p>
          <w:p w14:paraId="7F1E170F"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3/1999</w:t>
            </w:r>
          </w:p>
          <w:p w14:paraId="40679089"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14/2001</w:t>
            </w:r>
          </w:p>
          <w:p w14:paraId="6020BBCC"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41/2002</w:t>
            </w:r>
          </w:p>
          <w:p w14:paraId="62D16DC1"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58/2003</w:t>
            </w:r>
          </w:p>
          <w:p w14:paraId="176C6D7E"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73/2003</w:t>
            </w:r>
          </w:p>
          <w:p w14:paraId="35B12F39"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   </w:t>
            </w:r>
            <w:r w:rsidRPr="000662CA">
              <w:rPr>
                <w:rFonts w:ascii="Times New Roman" w:hAnsi="Times New Roman" w:cs="Times New Roman"/>
                <w:sz w:val="24"/>
                <w:szCs w:val="24"/>
                <w:lang w:val="tr-TR"/>
              </w:rPr>
              <w:t>13/2005</w:t>
            </w:r>
          </w:p>
          <w:p w14:paraId="696D7D3D"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34/2005</w:t>
            </w:r>
          </w:p>
          <w:p w14:paraId="286A7DB4"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56/2006</w:t>
            </w:r>
          </w:p>
          <w:p w14:paraId="1865357D"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15/2007</w:t>
            </w:r>
          </w:p>
          <w:p w14:paraId="7DC1C0BE"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53/2007</w:t>
            </w:r>
          </w:p>
          <w:p w14:paraId="0D0C2C0B"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67/2007</w:t>
            </w:r>
          </w:p>
          <w:p w14:paraId="27024E95"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3/2010</w:t>
            </w:r>
          </w:p>
          <w:p w14:paraId="1E8D6087"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39/2010</w:t>
            </w:r>
          </w:p>
          <w:p w14:paraId="30BCEFF0"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45/2010</w:t>
            </w:r>
          </w:p>
          <w:p w14:paraId="5B4D9C4F" w14:textId="77777777" w:rsidR="001908D1" w:rsidRPr="000662CA"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33/2011</w:t>
            </w:r>
          </w:p>
          <w:p w14:paraId="4B725F89"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53/2011</w:t>
            </w:r>
          </w:p>
          <w:p w14:paraId="7DC7E6A1" w14:textId="77777777" w:rsidR="001908D1" w:rsidRDefault="001908D1" w:rsidP="001908D1">
            <w:pPr>
              <w:ind w:right="-1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50/</w:t>
            </w:r>
            <w:r>
              <w:rPr>
                <w:rFonts w:ascii="Times New Roman" w:hAnsi="Times New Roman" w:cs="Times New Roman"/>
                <w:sz w:val="24"/>
                <w:szCs w:val="24"/>
                <w:lang w:val="tr-TR"/>
              </w:rPr>
              <w:t>2014</w:t>
            </w:r>
          </w:p>
          <w:p w14:paraId="292E3E7E" w14:textId="220C6329" w:rsidR="001908D1" w:rsidRPr="002A15A8" w:rsidRDefault="001908D1" w:rsidP="001908D1">
            <w:pPr>
              <w:ind w:right="-108"/>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0662CA">
              <w:rPr>
                <w:rFonts w:ascii="Times New Roman" w:hAnsi="Times New Roman" w:cs="Times New Roman"/>
                <w:sz w:val="24"/>
                <w:szCs w:val="24"/>
                <w:lang w:val="tr-TR"/>
              </w:rPr>
              <w:t>14/2019</w:t>
            </w:r>
          </w:p>
        </w:tc>
        <w:tc>
          <w:tcPr>
            <w:tcW w:w="4489" w:type="dxa"/>
          </w:tcPr>
          <w:p w14:paraId="6E2030AD" w14:textId="5898A53A" w:rsidR="000662CA" w:rsidRPr="002A15A8" w:rsidRDefault="000662CA" w:rsidP="00AB0E9A">
            <w:pPr>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eastAsia="tr-TR"/>
              </w:rPr>
              <w:lastRenderedPageBreak/>
              <w:t>Gelir Vergisi Yasasının 31’inci maddesinin (5)’inci fıkrası uyarınca her ay masa ve makine sayısına göre ödenecek vergiden en az</w:t>
            </w:r>
            <w:r w:rsidR="00AB0E9A">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 xml:space="preserve">% 10 (yüzde on) fazla olmak zorundadır. </w:t>
            </w:r>
          </w:p>
        </w:tc>
      </w:tr>
      <w:tr w:rsidR="000662CA" w:rsidRPr="002A15A8" w14:paraId="114AC3CE" w14:textId="77777777" w:rsidTr="00500067">
        <w:trPr>
          <w:gridAfter w:val="1"/>
          <w:wAfter w:w="47" w:type="dxa"/>
        </w:trPr>
        <w:tc>
          <w:tcPr>
            <w:tcW w:w="1618" w:type="dxa"/>
          </w:tcPr>
          <w:p w14:paraId="6F4812E4" w14:textId="77777777" w:rsidR="00A80D17" w:rsidRPr="002A15A8" w:rsidRDefault="00A80D17" w:rsidP="003372E6">
            <w:pPr>
              <w:rPr>
                <w:rFonts w:ascii="Times New Roman" w:hAnsi="Times New Roman" w:cs="Times New Roman"/>
                <w:sz w:val="24"/>
                <w:szCs w:val="24"/>
                <w:lang w:val="tr-TR"/>
              </w:rPr>
            </w:pPr>
          </w:p>
        </w:tc>
        <w:tc>
          <w:tcPr>
            <w:tcW w:w="466" w:type="dxa"/>
          </w:tcPr>
          <w:p w14:paraId="3B09A7D8" w14:textId="77777777" w:rsidR="00A80D17" w:rsidRPr="002A15A8" w:rsidRDefault="00A80D17" w:rsidP="003372E6">
            <w:pPr>
              <w:rPr>
                <w:rFonts w:ascii="Times New Roman" w:hAnsi="Times New Roman" w:cs="Times New Roman"/>
                <w:sz w:val="24"/>
                <w:szCs w:val="24"/>
                <w:lang w:val="tr-TR"/>
              </w:rPr>
            </w:pPr>
          </w:p>
        </w:tc>
        <w:tc>
          <w:tcPr>
            <w:tcW w:w="561" w:type="dxa"/>
          </w:tcPr>
          <w:p w14:paraId="7C78DC69" w14:textId="77777777" w:rsidR="00A80D17" w:rsidRPr="002A15A8" w:rsidRDefault="00A80D17" w:rsidP="003372E6">
            <w:pPr>
              <w:rPr>
                <w:rFonts w:ascii="Times New Roman" w:hAnsi="Times New Roman" w:cs="Times New Roman"/>
                <w:sz w:val="24"/>
                <w:szCs w:val="24"/>
                <w:lang w:val="tr-TR"/>
              </w:rPr>
            </w:pPr>
          </w:p>
        </w:tc>
        <w:tc>
          <w:tcPr>
            <w:tcW w:w="1668" w:type="dxa"/>
            <w:gridSpan w:val="3"/>
          </w:tcPr>
          <w:p w14:paraId="43ACAB45" w14:textId="77777777" w:rsidR="00A80D17" w:rsidRPr="002A15A8" w:rsidRDefault="00A80D17" w:rsidP="003372E6">
            <w:pPr>
              <w:jc w:val="both"/>
              <w:rPr>
                <w:rFonts w:ascii="Times New Roman" w:hAnsi="Times New Roman" w:cs="Times New Roman"/>
                <w:sz w:val="24"/>
                <w:szCs w:val="24"/>
                <w:lang w:val="tr-TR"/>
              </w:rPr>
            </w:pPr>
          </w:p>
        </w:tc>
        <w:tc>
          <w:tcPr>
            <w:tcW w:w="1181" w:type="dxa"/>
          </w:tcPr>
          <w:p w14:paraId="644A84E7" w14:textId="73AE064A" w:rsidR="00A80D17" w:rsidRPr="002A15A8" w:rsidRDefault="00D8301F" w:rsidP="00E8698D">
            <w:pPr>
              <w:jc w:val="center"/>
              <w:rPr>
                <w:rFonts w:ascii="Times New Roman" w:hAnsi="Times New Roman" w:cs="Times New Roman"/>
                <w:sz w:val="24"/>
                <w:szCs w:val="24"/>
                <w:lang w:val="tr-TR"/>
              </w:rPr>
            </w:pPr>
            <w:r>
              <w:rPr>
                <w:rFonts w:ascii="Times New Roman" w:hAnsi="Times New Roman" w:cs="Times New Roman"/>
                <w:sz w:val="24"/>
                <w:szCs w:val="24"/>
                <w:lang w:val="tr-TR"/>
              </w:rPr>
              <w:t>(B</w:t>
            </w:r>
            <w:r w:rsidR="00A80D17" w:rsidRPr="002A15A8">
              <w:rPr>
                <w:rFonts w:ascii="Times New Roman" w:hAnsi="Times New Roman" w:cs="Times New Roman"/>
                <w:sz w:val="24"/>
                <w:szCs w:val="24"/>
                <w:lang w:val="tr-TR"/>
              </w:rPr>
              <w:t>)</w:t>
            </w:r>
          </w:p>
          <w:p w14:paraId="19D96E4F" w14:textId="77777777" w:rsidR="00A80D17" w:rsidRPr="002A15A8" w:rsidRDefault="00A80D17" w:rsidP="00E8698D">
            <w:pPr>
              <w:jc w:val="center"/>
              <w:rPr>
                <w:rFonts w:ascii="Times New Roman" w:hAnsi="Times New Roman" w:cs="Times New Roman"/>
                <w:sz w:val="24"/>
                <w:szCs w:val="24"/>
                <w:lang w:val="tr-TR"/>
              </w:rPr>
            </w:pPr>
          </w:p>
          <w:p w14:paraId="456995C1" w14:textId="77777777" w:rsidR="00A80D17" w:rsidRPr="002A15A8" w:rsidRDefault="00A80D17" w:rsidP="00E8698D">
            <w:pPr>
              <w:jc w:val="center"/>
              <w:rPr>
                <w:rFonts w:ascii="Times New Roman" w:hAnsi="Times New Roman" w:cs="Times New Roman"/>
                <w:sz w:val="24"/>
                <w:szCs w:val="24"/>
                <w:lang w:val="tr-TR"/>
              </w:rPr>
            </w:pPr>
          </w:p>
          <w:p w14:paraId="7EA2EAC5" w14:textId="77777777" w:rsidR="00A80D17" w:rsidRPr="002A15A8" w:rsidRDefault="00A80D17" w:rsidP="00E8698D">
            <w:pPr>
              <w:jc w:val="center"/>
              <w:rPr>
                <w:rFonts w:ascii="Times New Roman" w:hAnsi="Times New Roman" w:cs="Times New Roman"/>
                <w:sz w:val="24"/>
                <w:szCs w:val="24"/>
                <w:lang w:val="tr-TR"/>
              </w:rPr>
            </w:pPr>
          </w:p>
          <w:p w14:paraId="4B1589B7" w14:textId="77777777" w:rsidR="00A80D17" w:rsidRPr="002A15A8" w:rsidRDefault="00A80D17" w:rsidP="00E8698D">
            <w:pPr>
              <w:jc w:val="center"/>
              <w:rPr>
                <w:rFonts w:ascii="Times New Roman" w:hAnsi="Times New Roman" w:cs="Times New Roman"/>
                <w:sz w:val="24"/>
                <w:szCs w:val="24"/>
                <w:lang w:val="tr-TR"/>
              </w:rPr>
            </w:pPr>
          </w:p>
          <w:p w14:paraId="34298240" w14:textId="77777777" w:rsidR="00A80D17" w:rsidRPr="002A15A8" w:rsidRDefault="00A80D17" w:rsidP="00E8698D">
            <w:pPr>
              <w:jc w:val="center"/>
              <w:rPr>
                <w:rFonts w:ascii="Times New Roman" w:hAnsi="Times New Roman" w:cs="Times New Roman"/>
                <w:sz w:val="24"/>
                <w:szCs w:val="24"/>
                <w:lang w:val="tr-TR"/>
              </w:rPr>
            </w:pPr>
          </w:p>
        </w:tc>
        <w:tc>
          <w:tcPr>
            <w:tcW w:w="4489" w:type="dxa"/>
          </w:tcPr>
          <w:p w14:paraId="0BCEB63B" w14:textId="4081E0D1" w:rsidR="00F30980" w:rsidRDefault="00A80D17" w:rsidP="003372E6">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M</w:t>
            </w:r>
            <w:r w:rsidR="002F7438">
              <w:rPr>
                <w:rFonts w:ascii="Times New Roman" w:hAnsi="Times New Roman" w:cs="Times New Roman"/>
                <w:sz w:val="24"/>
                <w:szCs w:val="24"/>
                <w:lang w:val="tr-TR"/>
              </w:rPr>
              <w:t xml:space="preserve">üşterek bahis oyunları (futbol, </w:t>
            </w:r>
            <w:r w:rsidRPr="002A15A8">
              <w:rPr>
                <w:rFonts w:ascii="Times New Roman" w:hAnsi="Times New Roman" w:cs="Times New Roman"/>
                <w:sz w:val="24"/>
                <w:szCs w:val="24"/>
                <w:lang w:val="tr-TR"/>
              </w:rPr>
              <w:t>at, köpek ve benzeri oyunlar) için</w:t>
            </w:r>
            <w:r w:rsidR="003372E6">
              <w:rPr>
                <w:rFonts w:ascii="Times New Roman" w:hAnsi="Times New Roman" w:cs="Times New Roman"/>
                <w:sz w:val="24"/>
                <w:szCs w:val="24"/>
                <w:lang w:val="tr-TR"/>
              </w:rPr>
              <w:t xml:space="preserve"> ilgi</w:t>
            </w:r>
            <w:r w:rsidR="002F7438">
              <w:rPr>
                <w:rFonts w:ascii="Times New Roman" w:hAnsi="Times New Roman" w:cs="Times New Roman"/>
                <w:sz w:val="24"/>
                <w:szCs w:val="24"/>
                <w:lang w:val="tr-TR"/>
              </w:rPr>
              <w:t>li aydaki brüt hasılatın % 10 (yüzde o</w:t>
            </w:r>
            <w:r w:rsidR="003372E6">
              <w:rPr>
                <w:rFonts w:ascii="Times New Roman" w:hAnsi="Times New Roman" w:cs="Times New Roman"/>
                <w:sz w:val="24"/>
                <w:szCs w:val="24"/>
                <w:lang w:val="tr-TR"/>
              </w:rPr>
              <w:t>n)’unda</w:t>
            </w:r>
            <w:r w:rsidRPr="002A15A8">
              <w:rPr>
                <w:rFonts w:ascii="Times New Roman" w:hAnsi="Times New Roman" w:cs="Times New Roman"/>
                <w:sz w:val="24"/>
                <w:szCs w:val="24"/>
                <w:lang w:val="tr-TR"/>
              </w:rPr>
              <w:t>n</w:t>
            </w:r>
            <w:r w:rsidR="00F30980">
              <w:rPr>
                <w:rFonts w:ascii="Times New Roman" w:hAnsi="Times New Roman" w:cs="Times New Roman"/>
                <w:sz w:val="24"/>
                <w:szCs w:val="24"/>
                <w:lang w:val="tr-TR"/>
              </w:rPr>
              <w:t xml:space="preserve"> az olamaz.</w:t>
            </w:r>
          </w:p>
          <w:p w14:paraId="5D43E8E7" w14:textId="4351DB6B" w:rsidR="002F7438" w:rsidRPr="002A15A8" w:rsidRDefault="00F30980" w:rsidP="003372E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A80D17">
              <w:rPr>
                <w:rFonts w:ascii="Times New Roman" w:hAnsi="Times New Roman" w:cs="Times New Roman"/>
                <w:sz w:val="24"/>
                <w:szCs w:val="24"/>
                <w:lang w:val="tr-TR"/>
              </w:rPr>
              <w:t xml:space="preserve"> </w:t>
            </w:r>
            <w:r w:rsidR="00E8698D">
              <w:rPr>
                <w:rFonts w:ascii="Times New Roman" w:hAnsi="Times New Roman" w:cs="Times New Roman"/>
                <w:sz w:val="24"/>
                <w:szCs w:val="24"/>
                <w:lang w:val="tr-TR"/>
              </w:rPr>
              <w:t xml:space="preserve">Ancak </w:t>
            </w:r>
            <w:r w:rsidR="003F11CE">
              <w:rPr>
                <w:rFonts w:ascii="Times New Roman" w:hAnsi="Times New Roman" w:cs="Times New Roman"/>
                <w:sz w:val="24"/>
                <w:szCs w:val="24"/>
                <w:lang w:val="tr-TR"/>
              </w:rPr>
              <w:t xml:space="preserve"> </w:t>
            </w:r>
            <w:r w:rsidR="00A80D17" w:rsidRPr="002A15A8">
              <w:rPr>
                <w:rFonts w:ascii="Times New Roman" w:hAnsi="Times New Roman" w:cs="Times New Roman"/>
                <w:sz w:val="24"/>
                <w:szCs w:val="24"/>
                <w:lang w:val="tr-TR"/>
              </w:rPr>
              <w:t>ödenecek vergi miktarı, oynanan her bir salon itibarıyla bu maddenin (2)’nci fıkrasının (A) bendinin (a) alt bendindeki vergi tutarından az olamaz.</w:t>
            </w:r>
          </w:p>
        </w:tc>
      </w:tr>
      <w:tr w:rsidR="000662CA" w:rsidRPr="002A15A8" w14:paraId="68E0B319" w14:textId="77777777" w:rsidTr="00500067">
        <w:trPr>
          <w:gridAfter w:val="1"/>
          <w:wAfter w:w="47" w:type="dxa"/>
        </w:trPr>
        <w:tc>
          <w:tcPr>
            <w:tcW w:w="1618" w:type="dxa"/>
          </w:tcPr>
          <w:p w14:paraId="56BD21BE" w14:textId="706B371B" w:rsidR="003372E6" w:rsidRPr="002A15A8" w:rsidRDefault="003372E6" w:rsidP="003372E6">
            <w:pPr>
              <w:rPr>
                <w:rFonts w:ascii="Times New Roman" w:hAnsi="Times New Roman" w:cs="Times New Roman"/>
                <w:sz w:val="24"/>
                <w:szCs w:val="24"/>
                <w:lang w:val="tr-TR"/>
              </w:rPr>
            </w:pPr>
          </w:p>
        </w:tc>
        <w:tc>
          <w:tcPr>
            <w:tcW w:w="466" w:type="dxa"/>
          </w:tcPr>
          <w:p w14:paraId="30C45B7A" w14:textId="77777777" w:rsidR="003372E6" w:rsidRPr="002A15A8" w:rsidRDefault="003372E6" w:rsidP="003372E6">
            <w:pPr>
              <w:rPr>
                <w:rFonts w:ascii="Times New Roman" w:hAnsi="Times New Roman" w:cs="Times New Roman"/>
                <w:sz w:val="24"/>
                <w:szCs w:val="24"/>
                <w:lang w:val="tr-TR"/>
              </w:rPr>
            </w:pPr>
          </w:p>
        </w:tc>
        <w:tc>
          <w:tcPr>
            <w:tcW w:w="561" w:type="dxa"/>
          </w:tcPr>
          <w:p w14:paraId="77F62EE9" w14:textId="77777777" w:rsidR="003372E6" w:rsidRPr="002A15A8" w:rsidRDefault="003372E6" w:rsidP="003372E6">
            <w:pPr>
              <w:rPr>
                <w:rFonts w:ascii="Times New Roman" w:hAnsi="Times New Roman" w:cs="Times New Roman"/>
                <w:sz w:val="24"/>
                <w:szCs w:val="24"/>
                <w:lang w:val="tr-TR"/>
              </w:rPr>
            </w:pPr>
          </w:p>
        </w:tc>
        <w:tc>
          <w:tcPr>
            <w:tcW w:w="1668" w:type="dxa"/>
            <w:gridSpan w:val="3"/>
          </w:tcPr>
          <w:p w14:paraId="3A728772" w14:textId="77777777" w:rsidR="003372E6" w:rsidRPr="002A15A8" w:rsidRDefault="003372E6" w:rsidP="003372E6">
            <w:pPr>
              <w:jc w:val="both"/>
              <w:rPr>
                <w:rFonts w:ascii="Times New Roman" w:hAnsi="Times New Roman" w:cs="Times New Roman"/>
                <w:sz w:val="24"/>
                <w:szCs w:val="24"/>
                <w:lang w:val="tr-TR"/>
              </w:rPr>
            </w:pPr>
          </w:p>
        </w:tc>
        <w:tc>
          <w:tcPr>
            <w:tcW w:w="1181" w:type="dxa"/>
          </w:tcPr>
          <w:p w14:paraId="56C30258" w14:textId="27690E87" w:rsidR="003372E6" w:rsidRDefault="00D8301F" w:rsidP="00E8698D">
            <w:pPr>
              <w:jc w:val="center"/>
              <w:rPr>
                <w:rFonts w:ascii="Times New Roman" w:hAnsi="Times New Roman" w:cs="Times New Roman"/>
                <w:sz w:val="24"/>
                <w:szCs w:val="24"/>
                <w:lang w:val="tr-TR"/>
              </w:rPr>
            </w:pPr>
            <w:r>
              <w:rPr>
                <w:rFonts w:ascii="Times New Roman" w:hAnsi="Times New Roman" w:cs="Times New Roman"/>
                <w:sz w:val="24"/>
                <w:szCs w:val="24"/>
                <w:lang w:val="tr-TR"/>
              </w:rPr>
              <w:t>(C</w:t>
            </w:r>
            <w:r w:rsidR="003372E6">
              <w:rPr>
                <w:rFonts w:ascii="Times New Roman" w:hAnsi="Times New Roman" w:cs="Times New Roman"/>
                <w:sz w:val="24"/>
                <w:szCs w:val="24"/>
                <w:lang w:val="tr-TR"/>
              </w:rPr>
              <w:t>)</w:t>
            </w:r>
          </w:p>
        </w:tc>
        <w:tc>
          <w:tcPr>
            <w:tcW w:w="4489" w:type="dxa"/>
          </w:tcPr>
          <w:p w14:paraId="123DD352" w14:textId="15CAA92E" w:rsidR="003372E6" w:rsidRPr="002A15A8" w:rsidRDefault="00D8301F" w:rsidP="005745B5">
            <w:pPr>
              <w:jc w:val="both"/>
              <w:rPr>
                <w:rFonts w:ascii="Times New Roman" w:hAnsi="Times New Roman" w:cs="Times New Roman"/>
                <w:sz w:val="24"/>
                <w:szCs w:val="24"/>
                <w:lang w:val="tr-TR"/>
              </w:rPr>
            </w:pPr>
            <w:r>
              <w:rPr>
                <w:rFonts w:ascii="Times New Roman" w:hAnsi="Times New Roman" w:cs="Times New Roman"/>
                <w:sz w:val="24"/>
                <w:szCs w:val="24"/>
                <w:lang w:val="tr-TR"/>
              </w:rPr>
              <w:t>Bu fıkranın (B</w:t>
            </w:r>
            <w:r w:rsidR="00500067">
              <w:rPr>
                <w:rFonts w:ascii="Times New Roman" w:hAnsi="Times New Roman" w:cs="Times New Roman"/>
                <w:sz w:val="24"/>
                <w:szCs w:val="24"/>
                <w:lang w:val="tr-TR"/>
              </w:rPr>
              <w:t>) bendi kapsamında</w:t>
            </w:r>
            <w:r w:rsidR="00C96C84" w:rsidRPr="00C96C84">
              <w:rPr>
                <w:rFonts w:ascii="Times New Roman" w:hAnsi="Times New Roman" w:cs="Times New Roman"/>
                <w:sz w:val="24"/>
                <w:szCs w:val="24"/>
                <w:lang w:val="tr-TR"/>
              </w:rPr>
              <w:t xml:space="preserve"> müşterek bahis oyunu oynatan gerçek veya tüzel kişiler, başka yasada herhangi bir kural bulunup bulunmamasına bakılmaksızın, belirtilen oyunlardan kazananlara yapılan ödemeler üzerinden sorumlu sıfatıyla, aylık olarak %</w:t>
            </w:r>
            <w:r w:rsidR="00C96C84">
              <w:rPr>
                <w:rFonts w:ascii="Times New Roman" w:hAnsi="Times New Roman" w:cs="Times New Roman"/>
                <w:sz w:val="24"/>
                <w:szCs w:val="24"/>
                <w:lang w:val="tr-TR"/>
              </w:rPr>
              <w:t xml:space="preserve"> </w:t>
            </w:r>
            <w:r w:rsidR="00C96C84" w:rsidRPr="00C96C84">
              <w:rPr>
                <w:rFonts w:ascii="Times New Roman" w:hAnsi="Times New Roman" w:cs="Times New Roman"/>
                <w:sz w:val="24"/>
                <w:szCs w:val="24"/>
                <w:lang w:val="tr-TR"/>
              </w:rPr>
              <w:t>5 (yüzde beş) oranında Şans Oyunları Hizmetleri Vergisi kesip, bu Yasanın 13’üncü maddesinde belirtilen beyanname verme süresi içerisinde, Gelir ve Vergi Dairesine yatırmakla sorumludurlar.</w:t>
            </w:r>
            <w:r w:rsidR="00C96C84">
              <w:rPr>
                <w:rFonts w:ascii="Times New Roman" w:hAnsi="Times New Roman" w:cs="Times New Roman"/>
                <w:sz w:val="24"/>
                <w:szCs w:val="24"/>
                <w:lang w:val="tr-TR"/>
              </w:rPr>
              <w:t>”</w:t>
            </w:r>
          </w:p>
        </w:tc>
      </w:tr>
      <w:tr w:rsidR="00B23D06" w:rsidRPr="002A15A8" w14:paraId="055E5B88" w14:textId="77777777" w:rsidTr="00500067">
        <w:trPr>
          <w:gridAfter w:val="1"/>
          <w:wAfter w:w="47" w:type="dxa"/>
        </w:trPr>
        <w:tc>
          <w:tcPr>
            <w:tcW w:w="9983" w:type="dxa"/>
            <w:gridSpan w:val="8"/>
          </w:tcPr>
          <w:p w14:paraId="48D3EE00" w14:textId="77777777" w:rsidR="00B23D06" w:rsidRPr="002A15A8" w:rsidRDefault="00B23D06" w:rsidP="005745B5">
            <w:pPr>
              <w:jc w:val="both"/>
              <w:rPr>
                <w:rFonts w:ascii="Times New Roman" w:hAnsi="Times New Roman" w:cs="Times New Roman"/>
                <w:sz w:val="24"/>
                <w:szCs w:val="24"/>
                <w:lang w:val="tr-TR"/>
              </w:rPr>
            </w:pPr>
          </w:p>
        </w:tc>
      </w:tr>
      <w:tr w:rsidR="000662CA" w:rsidRPr="002A15A8" w14:paraId="59C52E22" w14:textId="77777777" w:rsidTr="00500067">
        <w:trPr>
          <w:gridAfter w:val="1"/>
          <w:wAfter w:w="47" w:type="dxa"/>
        </w:trPr>
        <w:tc>
          <w:tcPr>
            <w:tcW w:w="1618" w:type="dxa"/>
          </w:tcPr>
          <w:p w14:paraId="7449C96B" w14:textId="77777777" w:rsidR="000B6621" w:rsidRPr="002A15A8" w:rsidRDefault="000B6621"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 xml:space="preserve"> </w:t>
            </w:r>
          </w:p>
        </w:tc>
        <w:tc>
          <w:tcPr>
            <w:tcW w:w="466" w:type="dxa"/>
          </w:tcPr>
          <w:p w14:paraId="4DC1083A" w14:textId="77777777" w:rsidR="000B6621" w:rsidRPr="002A15A8" w:rsidRDefault="000B6621" w:rsidP="003372E6">
            <w:pPr>
              <w:rPr>
                <w:rFonts w:ascii="Times New Roman" w:hAnsi="Times New Roman" w:cs="Times New Roman"/>
                <w:sz w:val="24"/>
                <w:szCs w:val="24"/>
                <w:lang w:val="tr-TR"/>
              </w:rPr>
            </w:pPr>
          </w:p>
        </w:tc>
        <w:tc>
          <w:tcPr>
            <w:tcW w:w="561" w:type="dxa"/>
          </w:tcPr>
          <w:p w14:paraId="01658ABE" w14:textId="2C4572F8" w:rsidR="000B6621" w:rsidRPr="002A15A8" w:rsidRDefault="000B6621" w:rsidP="003372E6">
            <w:pPr>
              <w:rPr>
                <w:rFonts w:ascii="Times New Roman" w:hAnsi="Times New Roman" w:cs="Times New Roman"/>
                <w:sz w:val="24"/>
                <w:szCs w:val="24"/>
                <w:lang w:val="tr-TR"/>
              </w:rPr>
            </w:pPr>
            <w:r w:rsidRPr="000B6621">
              <w:rPr>
                <w:rFonts w:ascii="Times New Roman" w:hAnsi="Times New Roman" w:cs="Times New Roman"/>
                <w:sz w:val="24"/>
                <w:szCs w:val="24"/>
                <w:lang w:val="tr-TR"/>
              </w:rPr>
              <w:t>(2)</w:t>
            </w:r>
          </w:p>
        </w:tc>
        <w:tc>
          <w:tcPr>
            <w:tcW w:w="7338" w:type="dxa"/>
            <w:gridSpan w:val="5"/>
          </w:tcPr>
          <w:p w14:paraId="18A0540D" w14:textId="1E943474" w:rsidR="000B6621" w:rsidRPr="002A15A8" w:rsidRDefault="000B6621" w:rsidP="005745B5">
            <w:pPr>
              <w:jc w:val="both"/>
              <w:rPr>
                <w:rFonts w:ascii="Times New Roman" w:hAnsi="Times New Roman" w:cs="Times New Roman"/>
                <w:sz w:val="24"/>
                <w:szCs w:val="24"/>
                <w:lang w:val="tr-TR"/>
              </w:rPr>
            </w:pPr>
            <w:r>
              <w:rPr>
                <w:rFonts w:ascii="Times New Roman" w:hAnsi="Times New Roman" w:cs="Times New Roman"/>
                <w:sz w:val="24"/>
                <w:szCs w:val="24"/>
                <w:lang w:val="tr-TR"/>
              </w:rPr>
              <w:t>Esas Yasa, 7’nci maddesinin (2)’nci fıkrasının (A) b</w:t>
            </w:r>
            <w:r w:rsidRPr="000B6621">
              <w:rPr>
                <w:rFonts w:ascii="Times New Roman" w:hAnsi="Times New Roman" w:cs="Times New Roman"/>
                <w:sz w:val="24"/>
                <w:szCs w:val="24"/>
                <w:lang w:val="tr-TR"/>
              </w:rPr>
              <w:t>endinin (a) ve (b) al</w:t>
            </w:r>
            <w:r w:rsidR="002F7438">
              <w:rPr>
                <w:rFonts w:ascii="Times New Roman" w:hAnsi="Times New Roman" w:cs="Times New Roman"/>
                <w:sz w:val="24"/>
                <w:szCs w:val="24"/>
                <w:lang w:val="tr-TR"/>
              </w:rPr>
              <w:t>t bentleri kaldırılmak ve yerlerine</w:t>
            </w:r>
            <w:r>
              <w:rPr>
                <w:rFonts w:ascii="Times New Roman" w:hAnsi="Times New Roman" w:cs="Times New Roman"/>
                <w:sz w:val="24"/>
                <w:szCs w:val="24"/>
                <w:lang w:val="tr-TR"/>
              </w:rPr>
              <w:t xml:space="preserve"> sırasıyla</w:t>
            </w:r>
            <w:r w:rsidRPr="000B6621">
              <w:rPr>
                <w:rFonts w:ascii="Times New Roman" w:hAnsi="Times New Roman" w:cs="Times New Roman"/>
                <w:sz w:val="24"/>
                <w:szCs w:val="24"/>
                <w:lang w:val="tr-TR"/>
              </w:rPr>
              <w:t xml:space="preserve"> aşağıdaki yeni (a) ve (b) alt bentleri konmak suretiyle değiştirilir:</w:t>
            </w:r>
          </w:p>
        </w:tc>
      </w:tr>
      <w:tr w:rsidR="002F7438" w:rsidRPr="002A15A8" w14:paraId="235E9B05" w14:textId="77777777" w:rsidTr="00500067">
        <w:trPr>
          <w:gridAfter w:val="1"/>
          <w:wAfter w:w="47" w:type="dxa"/>
        </w:trPr>
        <w:tc>
          <w:tcPr>
            <w:tcW w:w="9983" w:type="dxa"/>
            <w:gridSpan w:val="8"/>
          </w:tcPr>
          <w:p w14:paraId="7FE23029" w14:textId="77777777" w:rsidR="002F7438" w:rsidRDefault="002F7438" w:rsidP="005745B5">
            <w:pPr>
              <w:jc w:val="both"/>
              <w:rPr>
                <w:rFonts w:ascii="Times New Roman" w:hAnsi="Times New Roman" w:cs="Times New Roman"/>
                <w:sz w:val="24"/>
                <w:szCs w:val="24"/>
                <w:lang w:val="tr-TR"/>
              </w:rPr>
            </w:pPr>
          </w:p>
        </w:tc>
      </w:tr>
      <w:tr w:rsidR="000662CA" w:rsidRPr="002A15A8" w14:paraId="56614F8B" w14:textId="77777777" w:rsidTr="00500067">
        <w:tc>
          <w:tcPr>
            <w:tcW w:w="1618" w:type="dxa"/>
          </w:tcPr>
          <w:p w14:paraId="0026B87B" w14:textId="77777777" w:rsidR="000B6621" w:rsidRPr="002A15A8" w:rsidRDefault="000B6621" w:rsidP="003372E6">
            <w:pPr>
              <w:rPr>
                <w:rFonts w:ascii="Times New Roman" w:hAnsi="Times New Roman" w:cs="Times New Roman"/>
                <w:sz w:val="24"/>
                <w:szCs w:val="24"/>
                <w:lang w:val="tr-TR"/>
              </w:rPr>
            </w:pPr>
          </w:p>
        </w:tc>
        <w:tc>
          <w:tcPr>
            <w:tcW w:w="466" w:type="dxa"/>
          </w:tcPr>
          <w:p w14:paraId="6880040C" w14:textId="77777777" w:rsidR="000B6621" w:rsidRPr="002A15A8" w:rsidRDefault="000B6621" w:rsidP="003372E6">
            <w:pPr>
              <w:rPr>
                <w:rFonts w:ascii="Times New Roman" w:hAnsi="Times New Roman" w:cs="Times New Roman"/>
                <w:sz w:val="24"/>
                <w:szCs w:val="24"/>
                <w:lang w:val="tr-TR"/>
              </w:rPr>
            </w:pPr>
          </w:p>
        </w:tc>
        <w:tc>
          <w:tcPr>
            <w:tcW w:w="561" w:type="dxa"/>
          </w:tcPr>
          <w:p w14:paraId="12283780" w14:textId="77777777" w:rsidR="000B6621" w:rsidRPr="000B6621" w:rsidRDefault="000B6621" w:rsidP="003372E6">
            <w:pPr>
              <w:rPr>
                <w:rFonts w:ascii="Times New Roman" w:hAnsi="Times New Roman" w:cs="Times New Roman"/>
                <w:sz w:val="24"/>
                <w:szCs w:val="24"/>
                <w:lang w:val="tr-TR"/>
              </w:rPr>
            </w:pPr>
          </w:p>
        </w:tc>
        <w:tc>
          <w:tcPr>
            <w:tcW w:w="324" w:type="dxa"/>
          </w:tcPr>
          <w:p w14:paraId="2BE5E405" w14:textId="77777777" w:rsidR="000B6621" w:rsidRPr="002A15A8" w:rsidRDefault="000B6621" w:rsidP="003372E6">
            <w:pPr>
              <w:jc w:val="both"/>
              <w:rPr>
                <w:rFonts w:ascii="Times New Roman" w:hAnsi="Times New Roman" w:cs="Times New Roman"/>
                <w:sz w:val="24"/>
                <w:szCs w:val="24"/>
                <w:lang w:val="tr-TR"/>
              </w:rPr>
            </w:pPr>
          </w:p>
        </w:tc>
        <w:tc>
          <w:tcPr>
            <w:tcW w:w="541" w:type="dxa"/>
          </w:tcPr>
          <w:p w14:paraId="2D696856" w14:textId="199A1D69" w:rsidR="000B6621" w:rsidRPr="002A15A8" w:rsidRDefault="00500067" w:rsidP="00500067">
            <w:pPr>
              <w:ind w:left="-134" w:right="-249"/>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0B6621">
              <w:rPr>
                <w:rFonts w:ascii="Times New Roman" w:hAnsi="Times New Roman" w:cs="Times New Roman"/>
                <w:sz w:val="24"/>
                <w:szCs w:val="24"/>
                <w:lang w:val="tr-TR"/>
              </w:rPr>
              <w:t>“(a)</w:t>
            </w:r>
          </w:p>
        </w:tc>
        <w:tc>
          <w:tcPr>
            <w:tcW w:w="6520" w:type="dxa"/>
            <w:gridSpan w:val="4"/>
          </w:tcPr>
          <w:p w14:paraId="3FD480E3" w14:textId="0B351948" w:rsidR="000B6621" w:rsidRPr="00A80D17" w:rsidRDefault="000B6621" w:rsidP="00500067">
            <w:pPr>
              <w:ind w:left="-14" w:right="-13"/>
              <w:jc w:val="both"/>
              <w:rPr>
                <w:rFonts w:ascii="Times New Roman" w:hAnsi="Times New Roman" w:cs="Times New Roman"/>
                <w:sz w:val="24"/>
                <w:szCs w:val="24"/>
                <w:lang w:val="tr-TR"/>
              </w:rPr>
            </w:pPr>
            <w:r w:rsidRPr="000B6621">
              <w:rPr>
                <w:rFonts w:ascii="Times New Roman" w:hAnsi="Times New Roman" w:cs="Times New Roman"/>
                <w:sz w:val="24"/>
                <w:szCs w:val="24"/>
                <w:lang w:val="tr-TR"/>
              </w:rPr>
              <w:t xml:space="preserve">At ve köpek yarışı, futbol </w:t>
            </w:r>
            <w:r w:rsidR="00500067">
              <w:rPr>
                <w:rFonts w:ascii="Times New Roman" w:hAnsi="Times New Roman" w:cs="Times New Roman"/>
                <w:sz w:val="24"/>
                <w:szCs w:val="24"/>
                <w:lang w:val="tr-TR"/>
              </w:rPr>
              <w:t xml:space="preserve">ve diğer tüm bahisler için </w:t>
            </w:r>
            <w:r w:rsidR="00C96C84">
              <w:rPr>
                <w:rFonts w:ascii="Times New Roman" w:hAnsi="Times New Roman" w:cs="Times New Roman"/>
                <w:sz w:val="24"/>
                <w:szCs w:val="24"/>
                <w:lang w:val="tr-TR"/>
              </w:rPr>
              <w:t>7.600</w:t>
            </w:r>
            <w:r w:rsidR="002F7438">
              <w:rPr>
                <w:rFonts w:ascii="Times New Roman" w:hAnsi="Times New Roman" w:cs="Times New Roman"/>
                <w:sz w:val="24"/>
                <w:szCs w:val="24"/>
                <w:lang w:val="tr-TR"/>
              </w:rPr>
              <w:t>.-</w:t>
            </w:r>
            <w:r w:rsidRPr="000B6621">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USD </w:t>
            </w:r>
            <w:r w:rsidRPr="000B6621">
              <w:rPr>
                <w:rFonts w:ascii="Times New Roman" w:hAnsi="Times New Roman" w:cs="Times New Roman"/>
                <w:sz w:val="24"/>
                <w:szCs w:val="24"/>
                <w:lang w:val="tr-TR"/>
              </w:rPr>
              <w:t>(Yedi Bin</w:t>
            </w:r>
            <w:r w:rsidR="00500067">
              <w:rPr>
                <w:rFonts w:ascii="Times New Roman" w:hAnsi="Times New Roman" w:cs="Times New Roman"/>
                <w:sz w:val="24"/>
                <w:szCs w:val="24"/>
                <w:lang w:val="tr-TR"/>
              </w:rPr>
              <w:t>,</w:t>
            </w:r>
            <w:r w:rsidRPr="000B6621">
              <w:rPr>
                <w:rFonts w:ascii="Times New Roman" w:hAnsi="Times New Roman" w:cs="Times New Roman"/>
                <w:sz w:val="24"/>
                <w:szCs w:val="24"/>
                <w:lang w:val="tr-TR"/>
              </w:rPr>
              <w:t xml:space="preserve"> </w:t>
            </w:r>
            <w:r w:rsidR="00C96C84">
              <w:rPr>
                <w:rFonts w:ascii="Times New Roman" w:hAnsi="Times New Roman" w:cs="Times New Roman"/>
                <w:sz w:val="24"/>
                <w:szCs w:val="24"/>
                <w:lang w:val="tr-TR"/>
              </w:rPr>
              <w:t xml:space="preserve">Altı Yüz </w:t>
            </w:r>
            <w:r>
              <w:rPr>
                <w:rFonts w:ascii="Times New Roman" w:hAnsi="Times New Roman" w:cs="Times New Roman"/>
                <w:sz w:val="24"/>
                <w:szCs w:val="24"/>
                <w:lang w:val="tr-TR"/>
              </w:rPr>
              <w:t>Amerikan Doları</w:t>
            </w:r>
            <w:r w:rsidRPr="000B6621">
              <w:rPr>
                <w:rFonts w:ascii="Times New Roman" w:hAnsi="Times New Roman" w:cs="Times New Roman"/>
                <w:sz w:val="24"/>
                <w:szCs w:val="24"/>
                <w:lang w:val="tr-TR"/>
              </w:rPr>
              <w:t>) veya karş</w:t>
            </w:r>
            <w:r>
              <w:rPr>
                <w:rFonts w:ascii="Times New Roman" w:hAnsi="Times New Roman" w:cs="Times New Roman"/>
                <w:sz w:val="24"/>
                <w:szCs w:val="24"/>
                <w:lang w:val="tr-TR"/>
              </w:rPr>
              <w:t>ılığı Türk Lirasından az olamaz.</w:t>
            </w:r>
          </w:p>
        </w:tc>
      </w:tr>
      <w:tr w:rsidR="000662CA" w:rsidRPr="002A15A8" w14:paraId="14CEE79C" w14:textId="77777777" w:rsidTr="00500067">
        <w:tc>
          <w:tcPr>
            <w:tcW w:w="1618" w:type="dxa"/>
          </w:tcPr>
          <w:p w14:paraId="06519107" w14:textId="77777777" w:rsidR="000B6621" w:rsidRPr="002A15A8" w:rsidRDefault="000B6621" w:rsidP="003372E6">
            <w:pPr>
              <w:rPr>
                <w:rFonts w:ascii="Times New Roman" w:hAnsi="Times New Roman" w:cs="Times New Roman"/>
                <w:sz w:val="24"/>
                <w:szCs w:val="24"/>
                <w:lang w:val="tr-TR"/>
              </w:rPr>
            </w:pPr>
          </w:p>
        </w:tc>
        <w:tc>
          <w:tcPr>
            <w:tcW w:w="466" w:type="dxa"/>
          </w:tcPr>
          <w:p w14:paraId="02357C9C" w14:textId="77777777" w:rsidR="000B6621" w:rsidRPr="002A15A8" w:rsidRDefault="000B6621" w:rsidP="003372E6">
            <w:pPr>
              <w:rPr>
                <w:rFonts w:ascii="Times New Roman" w:hAnsi="Times New Roman" w:cs="Times New Roman"/>
                <w:sz w:val="24"/>
                <w:szCs w:val="24"/>
                <w:lang w:val="tr-TR"/>
              </w:rPr>
            </w:pPr>
          </w:p>
        </w:tc>
        <w:tc>
          <w:tcPr>
            <w:tcW w:w="561" w:type="dxa"/>
          </w:tcPr>
          <w:p w14:paraId="58FA0F96" w14:textId="77777777" w:rsidR="000B6621" w:rsidRPr="000B6621" w:rsidRDefault="000B6621" w:rsidP="003372E6">
            <w:pPr>
              <w:rPr>
                <w:rFonts w:ascii="Times New Roman" w:hAnsi="Times New Roman" w:cs="Times New Roman"/>
                <w:sz w:val="24"/>
                <w:szCs w:val="24"/>
                <w:lang w:val="tr-TR"/>
              </w:rPr>
            </w:pPr>
          </w:p>
        </w:tc>
        <w:tc>
          <w:tcPr>
            <w:tcW w:w="324" w:type="dxa"/>
          </w:tcPr>
          <w:p w14:paraId="0C34E010" w14:textId="77777777" w:rsidR="000B6621" w:rsidRPr="002A15A8" w:rsidRDefault="000B6621" w:rsidP="003372E6">
            <w:pPr>
              <w:jc w:val="both"/>
              <w:rPr>
                <w:rFonts w:ascii="Times New Roman" w:hAnsi="Times New Roman" w:cs="Times New Roman"/>
                <w:sz w:val="24"/>
                <w:szCs w:val="24"/>
                <w:lang w:val="tr-TR"/>
              </w:rPr>
            </w:pPr>
          </w:p>
        </w:tc>
        <w:tc>
          <w:tcPr>
            <w:tcW w:w="541" w:type="dxa"/>
          </w:tcPr>
          <w:p w14:paraId="638485E0" w14:textId="0A2114F7" w:rsidR="000B6621" w:rsidRDefault="000B6621" w:rsidP="00500067">
            <w:pPr>
              <w:ind w:left="-134" w:right="-249"/>
              <w:jc w:val="center"/>
              <w:rPr>
                <w:rFonts w:ascii="Times New Roman" w:hAnsi="Times New Roman" w:cs="Times New Roman"/>
                <w:sz w:val="24"/>
                <w:szCs w:val="24"/>
                <w:lang w:val="tr-TR"/>
              </w:rPr>
            </w:pPr>
            <w:r>
              <w:rPr>
                <w:rFonts w:ascii="Times New Roman" w:hAnsi="Times New Roman" w:cs="Times New Roman"/>
                <w:sz w:val="24"/>
                <w:szCs w:val="24"/>
                <w:lang w:val="tr-TR"/>
              </w:rPr>
              <w:t>(b)</w:t>
            </w:r>
          </w:p>
        </w:tc>
        <w:tc>
          <w:tcPr>
            <w:tcW w:w="6520" w:type="dxa"/>
            <w:gridSpan w:val="4"/>
          </w:tcPr>
          <w:p w14:paraId="6E10C7D3" w14:textId="0F17A824" w:rsidR="000B6621" w:rsidRPr="00A80D17" w:rsidRDefault="000B6621" w:rsidP="00500067">
            <w:pPr>
              <w:ind w:left="-14" w:right="-13"/>
              <w:jc w:val="both"/>
              <w:rPr>
                <w:rFonts w:ascii="Times New Roman" w:hAnsi="Times New Roman" w:cs="Times New Roman"/>
                <w:sz w:val="24"/>
                <w:szCs w:val="24"/>
                <w:lang w:val="tr-TR"/>
              </w:rPr>
            </w:pPr>
            <w:r w:rsidRPr="000B6621">
              <w:rPr>
                <w:rFonts w:ascii="Times New Roman" w:hAnsi="Times New Roman" w:cs="Times New Roman"/>
                <w:sz w:val="24"/>
                <w:szCs w:val="24"/>
                <w:lang w:val="tr-TR"/>
              </w:rPr>
              <w:t>At ve köpek yarışı dışındaki bahisler için 5</w:t>
            </w:r>
            <w:r w:rsidR="00C96C84">
              <w:rPr>
                <w:rFonts w:ascii="Times New Roman" w:hAnsi="Times New Roman" w:cs="Times New Roman"/>
                <w:sz w:val="24"/>
                <w:szCs w:val="24"/>
                <w:lang w:val="tr-TR"/>
              </w:rPr>
              <w:t>.300</w:t>
            </w:r>
            <w:r w:rsidR="002F7438">
              <w:rPr>
                <w:rFonts w:ascii="Times New Roman" w:hAnsi="Times New Roman" w:cs="Times New Roman"/>
                <w:sz w:val="24"/>
                <w:szCs w:val="24"/>
                <w:lang w:val="tr-TR"/>
              </w:rPr>
              <w:t>.-</w:t>
            </w:r>
            <w:r>
              <w:rPr>
                <w:rFonts w:ascii="Times New Roman" w:hAnsi="Times New Roman" w:cs="Times New Roman"/>
                <w:sz w:val="24"/>
                <w:szCs w:val="24"/>
                <w:lang w:val="tr-TR"/>
              </w:rPr>
              <w:t xml:space="preserve"> USD</w:t>
            </w:r>
            <w:r w:rsidR="00C96C84">
              <w:rPr>
                <w:rFonts w:ascii="Times New Roman" w:hAnsi="Times New Roman" w:cs="Times New Roman"/>
                <w:sz w:val="24"/>
                <w:szCs w:val="24"/>
                <w:lang w:val="tr-TR"/>
              </w:rPr>
              <w:t xml:space="preserve"> (Beş Bin</w:t>
            </w:r>
            <w:r w:rsidR="00500067">
              <w:rPr>
                <w:rFonts w:ascii="Times New Roman" w:hAnsi="Times New Roman" w:cs="Times New Roman"/>
                <w:sz w:val="24"/>
                <w:szCs w:val="24"/>
                <w:lang w:val="tr-TR"/>
              </w:rPr>
              <w:t>,</w:t>
            </w:r>
            <w:r w:rsidR="00C96C84">
              <w:rPr>
                <w:rFonts w:ascii="Times New Roman" w:hAnsi="Times New Roman" w:cs="Times New Roman"/>
                <w:sz w:val="24"/>
                <w:szCs w:val="24"/>
                <w:lang w:val="tr-TR"/>
              </w:rPr>
              <w:t xml:space="preserve"> Üç Yüz</w:t>
            </w:r>
            <w:r>
              <w:rPr>
                <w:rFonts w:ascii="Times New Roman" w:hAnsi="Times New Roman" w:cs="Times New Roman"/>
                <w:sz w:val="24"/>
                <w:szCs w:val="24"/>
                <w:lang w:val="tr-TR"/>
              </w:rPr>
              <w:t xml:space="preserve"> Amerikan Doları</w:t>
            </w:r>
            <w:r w:rsidRPr="000B6621">
              <w:rPr>
                <w:rFonts w:ascii="Times New Roman" w:hAnsi="Times New Roman" w:cs="Times New Roman"/>
                <w:sz w:val="24"/>
                <w:szCs w:val="24"/>
                <w:lang w:val="tr-TR"/>
              </w:rPr>
              <w:t>) veya karşılığı Türk Lirasından az olamaz.”</w:t>
            </w:r>
          </w:p>
        </w:tc>
      </w:tr>
    </w:tbl>
    <w:p w14:paraId="23A24FF2" w14:textId="77777777" w:rsidR="00B05DB8" w:rsidRDefault="00B05DB8"/>
    <w:p w14:paraId="0DDCC8C6" w14:textId="77777777" w:rsidR="001908D1" w:rsidRDefault="001908D1">
      <w:bookmarkStart w:id="0" w:name="_GoBack"/>
      <w:bookmarkEnd w:id="0"/>
      <w:r>
        <w:br w:type="page"/>
      </w:r>
    </w:p>
    <w:tbl>
      <w:tblPr>
        <w:tblStyle w:val="TabloKlavuzu"/>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46"/>
        <w:gridCol w:w="466"/>
        <w:gridCol w:w="561"/>
        <w:gridCol w:w="1432"/>
        <w:gridCol w:w="426"/>
        <w:gridCol w:w="708"/>
        <w:gridCol w:w="567"/>
        <w:gridCol w:w="4064"/>
      </w:tblGrid>
      <w:tr w:rsidR="00D8301F" w:rsidRPr="002A15A8" w14:paraId="1A80E6AD" w14:textId="77777777" w:rsidTr="001908D1">
        <w:tc>
          <w:tcPr>
            <w:tcW w:w="1618" w:type="dxa"/>
            <w:gridSpan w:val="2"/>
          </w:tcPr>
          <w:p w14:paraId="03A34BFA" w14:textId="77777777" w:rsidR="002F7438" w:rsidRPr="002A15A8" w:rsidRDefault="002F7438"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lastRenderedPageBreak/>
              <w:t>Esas Yasanın</w:t>
            </w:r>
          </w:p>
          <w:p w14:paraId="2AA65B70" w14:textId="77777777" w:rsidR="002F7438" w:rsidRPr="002A15A8" w:rsidRDefault="002F7438"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10’uncu</w:t>
            </w:r>
          </w:p>
          <w:p w14:paraId="090BCFC7" w14:textId="6A0C5C5E" w:rsidR="002F7438" w:rsidRPr="002A15A8" w:rsidRDefault="002F7438"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Maddesinin</w:t>
            </w:r>
          </w:p>
        </w:tc>
        <w:tc>
          <w:tcPr>
            <w:tcW w:w="8224" w:type="dxa"/>
            <w:gridSpan w:val="7"/>
          </w:tcPr>
          <w:p w14:paraId="0BD2367C" w14:textId="37AEAD44" w:rsidR="002F7438" w:rsidRPr="002A15A8" w:rsidRDefault="002F7438" w:rsidP="002F7438">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3.</w:t>
            </w:r>
            <w:r>
              <w:rPr>
                <w:rFonts w:ascii="Times New Roman" w:hAnsi="Times New Roman" w:cs="Times New Roman"/>
                <w:sz w:val="24"/>
                <w:szCs w:val="24"/>
                <w:lang w:val="tr-TR"/>
              </w:rPr>
              <w:t xml:space="preserve"> Esas Yasa, </w:t>
            </w:r>
            <w:r w:rsidRPr="002A15A8">
              <w:rPr>
                <w:rFonts w:ascii="Times New Roman" w:hAnsi="Times New Roman" w:cs="Times New Roman"/>
                <w:sz w:val="24"/>
                <w:szCs w:val="24"/>
                <w:lang w:val="tr-TR"/>
              </w:rPr>
              <w:t>10’uncu maddesi kaldırılmak ve yerine aşağıdaki yeni 10’uncu madde konmak suretiyle değiştirilir:</w:t>
            </w:r>
          </w:p>
        </w:tc>
      </w:tr>
      <w:tr w:rsidR="000662CA" w:rsidRPr="002A15A8" w14:paraId="3C2A7DC7" w14:textId="77777777" w:rsidTr="00A157BF">
        <w:tc>
          <w:tcPr>
            <w:tcW w:w="1618" w:type="dxa"/>
            <w:gridSpan w:val="2"/>
          </w:tcPr>
          <w:p w14:paraId="774084D2" w14:textId="095B5F0D" w:rsidR="00C96C84" w:rsidRDefault="00C96C84" w:rsidP="003372E6">
            <w:pPr>
              <w:rPr>
                <w:rFonts w:ascii="Times New Roman" w:hAnsi="Times New Roman" w:cs="Times New Roman"/>
                <w:sz w:val="24"/>
                <w:szCs w:val="24"/>
                <w:lang w:val="tr-TR"/>
              </w:rPr>
            </w:pPr>
            <w:r w:rsidRPr="00F30980">
              <w:rPr>
                <w:rFonts w:ascii="Times New Roman" w:hAnsi="Times New Roman" w:cs="Times New Roman"/>
                <w:sz w:val="24"/>
                <w:szCs w:val="24"/>
                <w:lang w:val="tr-TR"/>
              </w:rPr>
              <w:t>Değiştirilmesi</w:t>
            </w:r>
          </w:p>
          <w:p w14:paraId="148BB673" w14:textId="114E22DF" w:rsidR="00C96C84" w:rsidRPr="002A15A8" w:rsidRDefault="00C96C84" w:rsidP="003372E6">
            <w:pPr>
              <w:rPr>
                <w:rFonts w:ascii="Times New Roman" w:hAnsi="Times New Roman" w:cs="Times New Roman"/>
                <w:sz w:val="24"/>
                <w:szCs w:val="24"/>
                <w:lang w:val="tr-TR"/>
              </w:rPr>
            </w:pPr>
          </w:p>
        </w:tc>
        <w:tc>
          <w:tcPr>
            <w:tcW w:w="466" w:type="dxa"/>
          </w:tcPr>
          <w:p w14:paraId="4EE3102D" w14:textId="77777777" w:rsidR="00C96C84" w:rsidRPr="002A15A8" w:rsidRDefault="00C96C84" w:rsidP="003372E6">
            <w:pPr>
              <w:rPr>
                <w:rFonts w:ascii="Times New Roman" w:hAnsi="Times New Roman" w:cs="Times New Roman"/>
                <w:sz w:val="24"/>
                <w:szCs w:val="24"/>
                <w:lang w:val="tr-TR"/>
              </w:rPr>
            </w:pPr>
          </w:p>
        </w:tc>
        <w:tc>
          <w:tcPr>
            <w:tcW w:w="561" w:type="dxa"/>
          </w:tcPr>
          <w:p w14:paraId="77F0633D" w14:textId="4AD39FF1" w:rsidR="00C96C84" w:rsidRPr="002A15A8" w:rsidRDefault="00C96C84" w:rsidP="003372E6">
            <w:pPr>
              <w:rPr>
                <w:rFonts w:ascii="Times New Roman" w:hAnsi="Times New Roman" w:cs="Times New Roman"/>
                <w:sz w:val="24"/>
                <w:szCs w:val="24"/>
                <w:lang w:val="tr-TR"/>
              </w:rPr>
            </w:pPr>
          </w:p>
        </w:tc>
        <w:tc>
          <w:tcPr>
            <w:tcW w:w="1858" w:type="dxa"/>
            <w:gridSpan w:val="2"/>
          </w:tcPr>
          <w:p w14:paraId="7D9C793C" w14:textId="77777777" w:rsidR="00C96C84" w:rsidRDefault="00C96C84" w:rsidP="003372E6">
            <w:pPr>
              <w:jc w:val="both"/>
              <w:rPr>
                <w:rFonts w:ascii="Times New Roman" w:hAnsi="Times New Roman" w:cs="Times New Roman"/>
                <w:sz w:val="24"/>
                <w:szCs w:val="24"/>
                <w:lang w:val="tr-TR"/>
              </w:rPr>
            </w:pPr>
            <w:r>
              <w:rPr>
                <w:rFonts w:ascii="Times New Roman" w:hAnsi="Times New Roman" w:cs="Times New Roman"/>
                <w:sz w:val="24"/>
                <w:szCs w:val="24"/>
                <w:lang w:val="tr-TR"/>
              </w:rPr>
              <w:t>“Vergi Oranı</w:t>
            </w:r>
          </w:p>
          <w:p w14:paraId="27BB1451"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31/2009</w:t>
            </w:r>
          </w:p>
          <w:p w14:paraId="4F0728EA"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 xml:space="preserve">   57/2011</w:t>
            </w:r>
          </w:p>
          <w:p w14:paraId="60B96967"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 xml:space="preserve">     1/2012</w:t>
            </w:r>
          </w:p>
          <w:p w14:paraId="440D90CD"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 xml:space="preserve">   38/2015</w:t>
            </w:r>
          </w:p>
          <w:p w14:paraId="5778D007" w14:textId="77777777" w:rsidR="00C96C84" w:rsidRPr="00C96C84" w:rsidRDefault="00C96C84" w:rsidP="00C96C84">
            <w:pPr>
              <w:jc w:val="both"/>
              <w:rPr>
                <w:rFonts w:ascii="Times New Roman" w:hAnsi="Times New Roman" w:cs="Times New Roman"/>
                <w:sz w:val="24"/>
                <w:szCs w:val="24"/>
                <w:lang w:val="tr-TR"/>
              </w:rPr>
            </w:pPr>
          </w:p>
          <w:p w14:paraId="50D1884A"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67/1999</w:t>
            </w:r>
          </w:p>
          <w:p w14:paraId="1166605E" w14:textId="77777777" w:rsidR="00C96C84" w:rsidRPr="00C96C84"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 xml:space="preserve">   40/2004</w:t>
            </w:r>
          </w:p>
          <w:p w14:paraId="0E242BCB" w14:textId="1F8BB5B1" w:rsidR="00C96C84" w:rsidRPr="002A15A8" w:rsidRDefault="00C96C84" w:rsidP="00C96C84">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 xml:space="preserve">   12/2011</w:t>
            </w:r>
          </w:p>
        </w:tc>
        <w:tc>
          <w:tcPr>
            <w:tcW w:w="708" w:type="dxa"/>
          </w:tcPr>
          <w:p w14:paraId="02400FEF" w14:textId="227DCD0B" w:rsidR="00C96C84" w:rsidRPr="002A15A8" w:rsidRDefault="00C96C84" w:rsidP="00C96C84">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10. </w:t>
            </w:r>
          </w:p>
        </w:tc>
        <w:tc>
          <w:tcPr>
            <w:tcW w:w="567" w:type="dxa"/>
          </w:tcPr>
          <w:p w14:paraId="1460F24E" w14:textId="603D603C" w:rsidR="00C96C84" w:rsidRPr="002A15A8" w:rsidRDefault="00C96C84" w:rsidP="003372E6">
            <w:pPr>
              <w:jc w:val="both"/>
              <w:rPr>
                <w:rFonts w:ascii="Times New Roman" w:hAnsi="Times New Roman" w:cs="Times New Roman"/>
                <w:sz w:val="24"/>
                <w:szCs w:val="24"/>
                <w:lang w:val="tr-TR"/>
              </w:rPr>
            </w:pPr>
            <w:r>
              <w:rPr>
                <w:rFonts w:ascii="Times New Roman" w:hAnsi="Times New Roman" w:cs="Times New Roman"/>
                <w:sz w:val="24"/>
                <w:szCs w:val="24"/>
                <w:lang w:val="tr-TR"/>
              </w:rPr>
              <w:t>(1)</w:t>
            </w:r>
          </w:p>
        </w:tc>
        <w:tc>
          <w:tcPr>
            <w:tcW w:w="4064" w:type="dxa"/>
          </w:tcPr>
          <w:p w14:paraId="5C1C13A5" w14:textId="3223A5DC" w:rsidR="00C96C84" w:rsidRPr="002A15A8" w:rsidRDefault="00C96C84" w:rsidP="00AB0E9A">
            <w:pPr>
              <w:jc w:val="both"/>
              <w:rPr>
                <w:rFonts w:ascii="Times New Roman" w:hAnsi="Times New Roman" w:cs="Times New Roman"/>
                <w:sz w:val="24"/>
                <w:szCs w:val="24"/>
                <w:lang w:val="tr-TR"/>
              </w:rPr>
            </w:pPr>
            <w:r w:rsidRPr="00C96C84">
              <w:rPr>
                <w:rFonts w:ascii="Times New Roman" w:hAnsi="Times New Roman" w:cs="Times New Roman"/>
                <w:sz w:val="24"/>
                <w:szCs w:val="24"/>
                <w:lang w:val="tr-TR"/>
              </w:rPr>
              <w:t>Şans Oyunları Hizmetleri Vergisi oranı, Şans Oyunları Yasası kapsamında, şans oyunu salonlarının, şans veya talih oyunu (bahis oyunları hariç) faaliyetleri ile Beden Eğitimi ve Spor Yasası kapsamında, müşterek bah</w:t>
            </w:r>
            <w:r w:rsidR="00500067">
              <w:rPr>
                <w:rFonts w:ascii="Times New Roman" w:hAnsi="Times New Roman" w:cs="Times New Roman"/>
                <w:sz w:val="24"/>
                <w:szCs w:val="24"/>
                <w:lang w:val="tr-TR"/>
              </w:rPr>
              <w:t>is oyunu oynatan işletmelerin (i</w:t>
            </w:r>
            <w:r w:rsidRPr="00C96C84">
              <w:rPr>
                <w:rFonts w:ascii="Times New Roman" w:hAnsi="Times New Roman" w:cs="Times New Roman"/>
                <w:sz w:val="24"/>
                <w:szCs w:val="24"/>
                <w:lang w:val="tr-TR"/>
              </w:rPr>
              <w:t>nternet üzerinden yalnızca yurt dışında bahis oynatanlar hariç), bu faaliyetleri dolayısıyla, aylık olarak elde etmiş oldukları toplam brüt gelir miktarı üzerinden %</w:t>
            </w:r>
            <w:r w:rsidR="001908D1">
              <w:rPr>
                <w:rFonts w:ascii="Times New Roman" w:hAnsi="Times New Roman" w:cs="Times New Roman"/>
                <w:sz w:val="24"/>
                <w:szCs w:val="24"/>
                <w:lang w:val="tr-TR"/>
              </w:rPr>
              <w:t xml:space="preserve"> 5 (yüzde beş)’di</w:t>
            </w:r>
            <w:r w:rsidR="002F7438">
              <w:rPr>
                <w:rFonts w:ascii="Times New Roman" w:hAnsi="Times New Roman" w:cs="Times New Roman"/>
                <w:sz w:val="24"/>
                <w:szCs w:val="24"/>
                <w:lang w:val="tr-TR"/>
              </w:rPr>
              <w:t>r.</w:t>
            </w:r>
            <w:r w:rsidR="001908D1">
              <w:rPr>
                <w:rFonts w:ascii="Times New Roman" w:hAnsi="Times New Roman" w:cs="Times New Roman"/>
                <w:sz w:val="24"/>
                <w:szCs w:val="24"/>
                <w:lang w:val="tr-TR"/>
              </w:rPr>
              <w:t xml:space="preserve"> </w:t>
            </w:r>
            <w:r w:rsidR="00AB0E9A">
              <w:rPr>
                <w:rFonts w:ascii="Times New Roman" w:hAnsi="Times New Roman" w:cs="Times New Roman"/>
                <w:sz w:val="24"/>
                <w:szCs w:val="24"/>
                <w:lang w:val="tr-TR"/>
              </w:rPr>
              <w:t>Bakanlar Kurulu, şans oyunları hizmetleri v</w:t>
            </w:r>
            <w:r w:rsidR="001908D1">
              <w:rPr>
                <w:rFonts w:ascii="Times New Roman" w:hAnsi="Times New Roman" w:cs="Times New Roman"/>
                <w:sz w:val="24"/>
                <w:szCs w:val="24"/>
                <w:lang w:val="tr-TR"/>
              </w:rPr>
              <w:t xml:space="preserve">ergisi oranını 2 (iki) katına kadar artırmaya yetkilidir. </w:t>
            </w:r>
          </w:p>
        </w:tc>
      </w:tr>
      <w:tr w:rsidR="00761C1F" w:rsidRPr="002A15A8" w14:paraId="2B300658" w14:textId="77777777" w:rsidTr="00E8698D">
        <w:tc>
          <w:tcPr>
            <w:tcW w:w="1572" w:type="dxa"/>
          </w:tcPr>
          <w:p w14:paraId="1B1AF82A" w14:textId="77777777" w:rsidR="00761C1F" w:rsidRPr="00F30980" w:rsidRDefault="00761C1F" w:rsidP="001908D1">
            <w:pPr>
              <w:rPr>
                <w:rFonts w:ascii="Times New Roman" w:hAnsi="Times New Roman" w:cs="Times New Roman"/>
                <w:sz w:val="24"/>
                <w:szCs w:val="24"/>
                <w:lang w:val="tr-TR"/>
              </w:rPr>
            </w:pPr>
          </w:p>
        </w:tc>
        <w:tc>
          <w:tcPr>
            <w:tcW w:w="512" w:type="dxa"/>
            <w:gridSpan w:val="2"/>
          </w:tcPr>
          <w:p w14:paraId="74AF1A07" w14:textId="77777777" w:rsidR="00761C1F" w:rsidRPr="002A15A8" w:rsidRDefault="00761C1F" w:rsidP="003372E6">
            <w:pPr>
              <w:rPr>
                <w:rFonts w:ascii="Times New Roman" w:hAnsi="Times New Roman" w:cs="Times New Roman"/>
                <w:sz w:val="24"/>
                <w:szCs w:val="24"/>
                <w:lang w:val="tr-TR"/>
              </w:rPr>
            </w:pPr>
          </w:p>
        </w:tc>
        <w:tc>
          <w:tcPr>
            <w:tcW w:w="561" w:type="dxa"/>
          </w:tcPr>
          <w:p w14:paraId="7C867646" w14:textId="77777777" w:rsidR="00761C1F" w:rsidRPr="002A15A8" w:rsidRDefault="00761C1F" w:rsidP="003372E6">
            <w:pPr>
              <w:rPr>
                <w:rFonts w:ascii="Times New Roman" w:hAnsi="Times New Roman" w:cs="Times New Roman"/>
                <w:sz w:val="24"/>
                <w:szCs w:val="24"/>
                <w:lang w:val="tr-TR"/>
              </w:rPr>
            </w:pPr>
          </w:p>
        </w:tc>
        <w:tc>
          <w:tcPr>
            <w:tcW w:w="1432" w:type="dxa"/>
          </w:tcPr>
          <w:p w14:paraId="4D7465D2" w14:textId="77777777" w:rsidR="00761C1F" w:rsidRDefault="00761C1F" w:rsidP="003372E6">
            <w:pPr>
              <w:jc w:val="both"/>
              <w:rPr>
                <w:rFonts w:ascii="Times New Roman" w:hAnsi="Times New Roman" w:cs="Times New Roman"/>
                <w:sz w:val="24"/>
                <w:szCs w:val="24"/>
                <w:lang w:val="tr-TR"/>
              </w:rPr>
            </w:pPr>
          </w:p>
        </w:tc>
        <w:tc>
          <w:tcPr>
            <w:tcW w:w="1701" w:type="dxa"/>
            <w:gridSpan w:val="3"/>
          </w:tcPr>
          <w:p w14:paraId="146842BB" w14:textId="6118D862" w:rsidR="00761C1F" w:rsidRDefault="00761C1F" w:rsidP="00761C1F">
            <w:pPr>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(2)</w:t>
            </w:r>
          </w:p>
          <w:p w14:paraId="73079874" w14:textId="77777777" w:rsidR="00AB0E9A" w:rsidRDefault="00AB0E9A" w:rsidP="00761C1F">
            <w:pPr>
              <w:jc w:val="center"/>
              <w:rPr>
                <w:rFonts w:ascii="Times New Roman" w:hAnsi="Times New Roman" w:cs="Times New Roman"/>
                <w:sz w:val="24"/>
                <w:szCs w:val="24"/>
                <w:lang w:val="tr-TR"/>
              </w:rPr>
            </w:pPr>
          </w:p>
          <w:p w14:paraId="7ED4BC53" w14:textId="7B4D1366" w:rsidR="00761C1F" w:rsidRDefault="00761C1F"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67/2005</w:t>
            </w:r>
          </w:p>
          <w:p w14:paraId="4249A56D" w14:textId="5971CB95"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 xml:space="preserve"> 59/2006</w:t>
            </w:r>
          </w:p>
          <w:p w14:paraId="1E5C2862" w14:textId="60E1C325"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 xml:space="preserve"> 85/2007</w:t>
            </w:r>
          </w:p>
          <w:p w14:paraId="5085ECA6" w14:textId="593B587A"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74/2009</w:t>
            </w:r>
          </w:p>
          <w:p w14:paraId="3CD48D39" w14:textId="49B08844"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56/2011</w:t>
            </w:r>
          </w:p>
          <w:p w14:paraId="413A9348" w14:textId="146879BD"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30/2013</w:t>
            </w:r>
          </w:p>
          <w:p w14:paraId="7F31073F" w14:textId="7D7E8E7D"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1/2016</w:t>
            </w:r>
          </w:p>
          <w:p w14:paraId="16EFF0C7" w14:textId="201BFCAE"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67/2017</w:t>
            </w:r>
          </w:p>
          <w:p w14:paraId="0DF4C38F" w14:textId="54BE173C"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44/2019</w:t>
            </w:r>
          </w:p>
          <w:p w14:paraId="01FF0072" w14:textId="1B8E4D9D" w:rsidR="00761C1F" w:rsidRDefault="00500BB6" w:rsidP="00761C1F">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28/2021</w:t>
            </w:r>
          </w:p>
          <w:p w14:paraId="2B203A12" w14:textId="7B2D59C7" w:rsidR="00761C1F" w:rsidRDefault="00500BB6" w:rsidP="00500BB6">
            <w:pPr>
              <w:ind w:right="-183"/>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761C1F">
              <w:rPr>
                <w:rFonts w:ascii="Times New Roman" w:hAnsi="Times New Roman" w:cs="Times New Roman"/>
                <w:sz w:val="24"/>
                <w:szCs w:val="24"/>
                <w:lang w:val="tr-TR"/>
              </w:rPr>
              <w:t>74/2023</w:t>
            </w:r>
          </w:p>
        </w:tc>
        <w:tc>
          <w:tcPr>
            <w:tcW w:w="4064" w:type="dxa"/>
          </w:tcPr>
          <w:p w14:paraId="3DD98E00" w14:textId="427218F1" w:rsidR="00761C1F" w:rsidRDefault="00500067" w:rsidP="0013384F">
            <w:pPr>
              <w:jc w:val="both"/>
              <w:rPr>
                <w:rFonts w:ascii="Times New Roman" w:hAnsi="Times New Roman" w:cs="Times New Roman"/>
                <w:sz w:val="24"/>
                <w:szCs w:val="24"/>
                <w:lang w:val="tr-TR"/>
              </w:rPr>
            </w:pPr>
            <w:r>
              <w:rPr>
                <w:rFonts w:ascii="Times New Roman" w:hAnsi="Times New Roman" w:cs="Times New Roman"/>
                <w:sz w:val="24"/>
                <w:szCs w:val="24"/>
                <w:lang w:val="tr-TR"/>
              </w:rPr>
              <w:t>Bu Yasaya göre ödenen şans oyunları hizmetler</w:t>
            </w:r>
            <w:r w:rsidR="003936E7">
              <w:rPr>
                <w:rFonts w:ascii="Times New Roman" w:hAnsi="Times New Roman" w:cs="Times New Roman"/>
                <w:sz w:val="24"/>
                <w:szCs w:val="24"/>
                <w:lang w:val="tr-TR"/>
              </w:rPr>
              <w:t>i</w:t>
            </w:r>
            <w:r>
              <w:rPr>
                <w:rFonts w:ascii="Times New Roman" w:hAnsi="Times New Roman" w:cs="Times New Roman"/>
                <w:sz w:val="24"/>
                <w:szCs w:val="24"/>
                <w:lang w:val="tr-TR"/>
              </w:rPr>
              <w:t xml:space="preserve"> v</w:t>
            </w:r>
            <w:r w:rsidR="00761C1F">
              <w:rPr>
                <w:rFonts w:ascii="Times New Roman" w:hAnsi="Times New Roman" w:cs="Times New Roman"/>
                <w:sz w:val="24"/>
                <w:szCs w:val="24"/>
                <w:lang w:val="tr-TR"/>
              </w:rPr>
              <w:t>ergi</w:t>
            </w:r>
            <w:r>
              <w:rPr>
                <w:rFonts w:ascii="Times New Roman" w:hAnsi="Times New Roman" w:cs="Times New Roman"/>
                <w:sz w:val="24"/>
                <w:szCs w:val="24"/>
                <w:lang w:val="tr-TR"/>
              </w:rPr>
              <w:t>si</w:t>
            </w:r>
            <w:r w:rsidR="00761C1F">
              <w:rPr>
                <w:rFonts w:ascii="Times New Roman" w:hAnsi="Times New Roman" w:cs="Times New Roman"/>
                <w:sz w:val="24"/>
                <w:szCs w:val="24"/>
                <w:lang w:val="tr-TR"/>
              </w:rPr>
              <w:t xml:space="preserve"> miktarının % 5 (yüzde beş)’i Anayasanın 159’uncu Maddesinin (1)’inci Fıkrasının (b) Bendi Kapsamına Giren, Taşınmaz Malların Tazmini, Takası ve İadesi Yasası tahtında oluşturulan </w:t>
            </w:r>
            <w:r w:rsidR="00761C1F" w:rsidRPr="0013384F">
              <w:rPr>
                <w:rFonts w:ascii="Times New Roman" w:hAnsi="Times New Roman" w:cs="Times New Roman"/>
                <w:sz w:val="24"/>
                <w:szCs w:val="24"/>
                <w:lang w:val="tr-TR"/>
              </w:rPr>
              <w:t>Taşınmaz Mal Komisyonu</w:t>
            </w:r>
            <w:r>
              <w:rPr>
                <w:rFonts w:ascii="Times New Roman" w:hAnsi="Times New Roman" w:cs="Times New Roman"/>
                <w:sz w:val="24"/>
                <w:szCs w:val="24"/>
                <w:lang w:val="tr-TR"/>
              </w:rPr>
              <w:t xml:space="preserve"> adı altında açılan tazminat k</w:t>
            </w:r>
            <w:r w:rsidR="00761C1F">
              <w:rPr>
                <w:rFonts w:ascii="Times New Roman" w:hAnsi="Times New Roman" w:cs="Times New Roman"/>
                <w:sz w:val="24"/>
                <w:szCs w:val="24"/>
                <w:lang w:val="tr-TR"/>
              </w:rPr>
              <w:t>alemine yatırılır.”</w:t>
            </w:r>
          </w:p>
          <w:p w14:paraId="0E609B3C" w14:textId="4D06B3A0" w:rsidR="00761C1F" w:rsidRPr="00C96C84" w:rsidRDefault="00761C1F" w:rsidP="0013384F">
            <w:pPr>
              <w:jc w:val="both"/>
              <w:rPr>
                <w:rFonts w:ascii="Times New Roman" w:hAnsi="Times New Roman" w:cs="Times New Roman"/>
                <w:sz w:val="24"/>
                <w:szCs w:val="24"/>
                <w:lang w:val="tr-TR"/>
              </w:rPr>
            </w:pPr>
          </w:p>
        </w:tc>
      </w:tr>
      <w:tr w:rsidR="00973182" w:rsidRPr="002A15A8" w14:paraId="6CDC0F1C" w14:textId="77777777" w:rsidTr="001908D1">
        <w:tc>
          <w:tcPr>
            <w:tcW w:w="9842" w:type="dxa"/>
            <w:gridSpan w:val="9"/>
          </w:tcPr>
          <w:p w14:paraId="43714E77" w14:textId="77777777" w:rsidR="00973182" w:rsidRDefault="00973182" w:rsidP="0013384F">
            <w:pPr>
              <w:jc w:val="both"/>
              <w:rPr>
                <w:rFonts w:ascii="Times New Roman" w:hAnsi="Times New Roman" w:cs="Times New Roman"/>
                <w:sz w:val="24"/>
                <w:szCs w:val="24"/>
                <w:lang w:val="tr-TR"/>
              </w:rPr>
            </w:pPr>
          </w:p>
        </w:tc>
      </w:tr>
      <w:tr w:rsidR="000B6621" w:rsidRPr="002A15A8" w14:paraId="5C8AAABD" w14:textId="77777777" w:rsidTr="001908D1">
        <w:tc>
          <w:tcPr>
            <w:tcW w:w="1572" w:type="dxa"/>
          </w:tcPr>
          <w:p w14:paraId="45281728" w14:textId="23DA6EBF" w:rsidR="000B6621" w:rsidRPr="002A15A8" w:rsidRDefault="000B6621" w:rsidP="003372E6">
            <w:pPr>
              <w:rPr>
                <w:rFonts w:ascii="Times New Roman" w:hAnsi="Times New Roman" w:cs="Times New Roman"/>
                <w:sz w:val="24"/>
                <w:szCs w:val="24"/>
                <w:lang w:val="tr-TR"/>
              </w:rPr>
            </w:pPr>
            <w:r w:rsidRPr="002A15A8">
              <w:rPr>
                <w:rFonts w:ascii="Times New Roman" w:hAnsi="Times New Roman" w:cs="Times New Roman"/>
                <w:sz w:val="24"/>
                <w:szCs w:val="24"/>
                <w:lang w:val="tr-TR"/>
              </w:rPr>
              <w:t>Yürürlüğe Giriş</w:t>
            </w:r>
          </w:p>
        </w:tc>
        <w:tc>
          <w:tcPr>
            <w:tcW w:w="8270" w:type="dxa"/>
            <w:gridSpan w:val="8"/>
          </w:tcPr>
          <w:p w14:paraId="49B2699E" w14:textId="1EFC9B8D" w:rsidR="000B6621" w:rsidRPr="002A15A8" w:rsidRDefault="000B6621" w:rsidP="000B6621">
            <w:pPr>
              <w:jc w:val="both"/>
              <w:rPr>
                <w:rFonts w:ascii="Times New Roman" w:hAnsi="Times New Roman" w:cs="Times New Roman"/>
                <w:sz w:val="24"/>
                <w:szCs w:val="24"/>
                <w:lang w:val="tr-TR"/>
              </w:rPr>
            </w:pPr>
            <w:r w:rsidRPr="002A15A8">
              <w:rPr>
                <w:rFonts w:ascii="Times New Roman" w:hAnsi="Times New Roman" w:cs="Times New Roman"/>
                <w:sz w:val="24"/>
                <w:szCs w:val="24"/>
                <w:lang w:val="tr-TR"/>
              </w:rPr>
              <w:t>4.</w:t>
            </w:r>
            <w:r>
              <w:rPr>
                <w:rFonts w:ascii="Times New Roman" w:hAnsi="Times New Roman" w:cs="Times New Roman"/>
                <w:sz w:val="24"/>
                <w:szCs w:val="24"/>
                <w:lang w:val="tr-TR"/>
              </w:rPr>
              <w:t xml:space="preserve"> </w:t>
            </w:r>
            <w:r w:rsidRPr="002A15A8">
              <w:rPr>
                <w:rFonts w:ascii="Times New Roman" w:hAnsi="Times New Roman" w:cs="Times New Roman"/>
                <w:sz w:val="24"/>
                <w:szCs w:val="24"/>
                <w:lang w:val="tr-TR"/>
              </w:rPr>
              <w:t>Bu Yasa, Resmi Gazete’de yayımlandığı tarihi t</w:t>
            </w:r>
            <w:r>
              <w:rPr>
                <w:rFonts w:ascii="Times New Roman" w:hAnsi="Times New Roman" w:cs="Times New Roman"/>
                <w:sz w:val="24"/>
                <w:szCs w:val="24"/>
                <w:lang w:val="tr-TR"/>
              </w:rPr>
              <w:t>akip eden ayın başından başlayarak</w:t>
            </w:r>
            <w:r w:rsidRPr="002A15A8">
              <w:rPr>
                <w:rFonts w:ascii="Times New Roman" w:hAnsi="Times New Roman" w:cs="Times New Roman"/>
                <w:sz w:val="24"/>
                <w:szCs w:val="24"/>
                <w:lang w:val="tr-TR"/>
              </w:rPr>
              <w:t xml:space="preserve"> yürürlüğe girer.</w:t>
            </w:r>
          </w:p>
        </w:tc>
      </w:tr>
    </w:tbl>
    <w:p w14:paraId="4EC4F46B" w14:textId="77777777" w:rsidR="00AB36AA" w:rsidRDefault="00AB36AA">
      <w:pPr>
        <w:rPr>
          <w:rFonts w:ascii="Times New Roman" w:hAnsi="Times New Roman" w:cs="Times New Roman"/>
          <w:sz w:val="24"/>
          <w:szCs w:val="24"/>
        </w:rPr>
      </w:pPr>
    </w:p>
    <w:p w14:paraId="4F220834" w14:textId="77777777" w:rsidR="00A80D17" w:rsidRDefault="00A80D17">
      <w:pPr>
        <w:rPr>
          <w:rFonts w:ascii="Times New Roman" w:hAnsi="Times New Roman" w:cs="Times New Roman"/>
          <w:sz w:val="24"/>
          <w:szCs w:val="24"/>
        </w:rPr>
      </w:pPr>
    </w:p>
    <w:p w14:paraId="67A18695" w14:textId="77777777" w:rsidR="00A80D17" w:rsidRDefault="00A80D17">
      <w:pPr>
        <w:rPr>
          <w:rFonts w:ascii="Times New Roman" w:hAnsi="Times New Roman" w:cs="Times New Roman"/>
          <w:sz w:val="24"/>
          <w:szCs w:val="24"/>
        </w:rPr>
      </w:pPr>
    </w:p>
    <w:p w14:paraId="50FA2052" w14:textId="77777777" w:rsidR="00A80D17" w:rsidRPr="002A15A8" w:rsidRDefault="00A80D17">
      <w:pPr>
        <w:rPr>
          <w:rFonts w:ascii="Times New Roman" w:hAnsi="Times New Roman" w:cs="Times New Roman"/>
          <w:sz w:val="24"/>
          <w:szCs w:val="24"/>
        </w:rPr>
      </w:pPr>
    </w:p>
    <w:sectPr w:rsidR="00A80D17" w:rsidRPr="002A15A8" w:rsidSect="002F7438">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1012" w14:textId="77777777" w:rsidR="00E8698D" w:rsidRDefault="00E8698D" w:rsidP="002F7438">
      <w:pPr>
        <w:spacing w:after="0" w:line="240" w:lineRule="auto"/>
      </w:pPr>
      <w:r>
        <w:separator/>
      </w:r>
    </w:p>
  </w:endnote>
  <w:endnote w:type="continuationSeparator" w:id="0">
    <w:p w14:paraId="11F41D8D" w14:textId="77777777" w:rsidR="00E8698D" w:rsidRDefault="00E8698D" w:rsidP="002F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2C68" w14:textId="77777777" w:rsidR="00E8698D" w:rsidRDefault="00E8698D" w:rsidP="002F7438">
      <w:pPr>
        <w:spacing w:after="0" w:line="240" w:lineRule="auto"/>
      </w:pPr>
      <w:r>
        <w:separator/>
      </w:r>
    </w:p>
  </w:footnote>
  <w:footnote w:type="continuationSeparator" w:id="0">
    <w:p w14:paraId="273073D4" w14:textId="77777777" w:rsidR="00E8698D" w:rsidRDefault="00E8698D" w:rsidP="002F7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FA"/>
    <w:rsid w:val="000049F1"/>
    <w:rsid w:val="00013066"/>
    <w:rsid w:val="000662CA"/>
    <w:rsid w:val="000B6621"/>
    <w:rsid w:val="000D596E"/>
    <w:rsid w:val="001027F3"/>
    <w:rsid w:val="0012104E"/>
    <w:rsid w:val="0013157B"/>
    <w:rsid w:val="0013384F"/>
    <w:rsid w:val="001908D1"/>
    <w:rsid w:val="001C186F"/>
    <w:rsid w:val="002318E3"/>
    <w:rsid w:val="00256AA3"/>
    <w:rsid w:val="002A15A8"/>
    <w:rsid w:val="002A738C"/>
    <w:rsid w:val="002C7B91"/>
    <w:rsid w:val="002E18A3"/>
    <w:rsid w:val="002F7438"/>
    <w:rsid w:val="00326CAB"/>
    <w:rsid w:val="003372E6"/>
    <w:rsid w:val="003936E7"/>
    <w:rsid w:val="003F11CE"/>
    <w:rsid w:val="00406FB9"/>
    <w:rsid w:val="004C4FC0"/>
    <w:rsid w:val="00500067"/>
    <w:rsid w:val="00500BB6"/>
    <w:rsid w:val="005430A2"/>
    <w:rsid w:val="005523C6"/>
    <w:rsid w:val="005745B5"/>
    <w:rsid w:val="005F5D5D"/>
    <w:rsid w:val="00622163"/>
    <w:rsid w:val="00664D77"/>
    <w:rsid w:val="006735B7"/>
    <w:rsid w:val="006B49E4"/>
    <w:rsid w:val="006C15E2"/>
    <w:rsid w:val="00761C1F"/>
    <w:rsid w:val="00774E82"/>
    <w:rsid w:val="007C711D"/>
    <w:rsid w:val="007F3376"/>
    <w:rsid w:val="00927FD9"/>
    <w:rsid w:val="00973182"/>
    <w:rsid w:val="00A157BF"/>
    <w:rsid w:val="00A56120"/>
    <w:rsid w:val="00A80D17"/>
    <w:rsid w:val="00A954A3"/>
    <w:rsid w:val="00AB02E1"/>
    <w:rsid w:val="00AB0E9A"/>
    <w:rsid w:val="00AB1CFA"/>
    <w:rsid w:val="00AB36AA"/>
    <w:rsid w:val="00B05DB8"/>
    <w:rsid w:val="00B21AC3"/>
    <w:rsid w:val="00B23D06"/>
    <w:rsid w:val="00B3206A"/>
    <w:rsid w:val="00C03A92"/>
    <w:rsid w:val="00C14653"/>
    <w:rsid w:val="00C42A29"/>
    <w:rsid w:val="00C7695F"/>
    <w:rsid w:val="00C96C84"/>
    <w:rsid w:val="00CC1CAA"/>
    <w:rsid w:val="00CC5787"/>
    <w:rsid w:val="00D26FD0"/>
    <w:rsid w:val="00D7023E"/>
    <w:rsid w:val="00D8301F"/>
    <w:rsid w:val="00D878A5"/>
    <w:rsid w:val="00DD0831"/>
    <w:rsid w:val="00E22F9E"/>
    <w:rsid w:val="00E8698D"/>
    <w:rsid w:val="00F02FA7"/>
    <w:rsid w:val="00F30980"/>
    <w:rsid w:val="00F5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7B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B91"/>
    <w:rPr>
      <w:rFonts w:ascii="Segoe UI" w:hAnsi="Segoe UI" w:cs="Segoe UI"/>
      <w:sz w:val="18"/>
      <w:szCs w:val="18"/>
    </w:rPr>
  </w:style>
  <w:style w:type="paragraph" w:styleId="stbilgi">
    <w:name w:val="header"/>
    <w:basedOn w:val="Normal"/>
    <w:link w:val="stbilgiChar"/>
    <w:uiPriority w:val="99"/>
    <w:unhideWhenUsed/>
    <w:rsid w:val="002F74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438"/>
  </w:style>
  <w:style w:type="paragraph" w:styleId="Altbilgi">
    <w:name w:val="footer"/>
    <w:basedOn w:val="Normal"/>
    <w:link w:val="AltbilgiChar"/>
    <w:uiPriority w:val="99"/>
    <w:unhideWhenUsed/>
    <w:rsid w:val="002F74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7B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B91"/>
    <w:rPr>
      <w:rFonts w:ascii="Segoe UI" w:hAnsi="Segoe UI" w:cs="Segoe UI"/>
      <w:sz w:val="18"/>
      <w:szCs w:val="18"/>
    </w:rPr>
  </w:style>
  <w:style w:type="paragraph" w:styleId="stbilgi">
    <w:name w:val="header"/>
    <w:basedOn w:val="Normal"/>
    <w:link w:val="stbilgiChar"/>
    <w:uiPriority w:val="99"/>
    <w:unhideWhenUsed/>
    <w:rsid w:val="002F74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438"/>
  </w:style>
  <w:style w:type="paragraph" w:styleId="Altbilgi">
    <w:name w:val="footer"/>
    <w:basedOn w:val="Normal"/>
    <w:link w:val="AltbilgiChar"/>
    <w:uiPriority w:val="99"/>
    <w:unhideWhenUsed/>
    <w:rsid w:val="002F74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CABACABA</dc:creator>
  <cp:lastModifiedBy>Necdet Özbay</cp:lastModifiedBy>
  <cp:revision>4</cp:revision>
  <cp:lastPrinted>2024-04-22T12:23:00Z</cp:lastPrinted>
  <dcterms:created xsi:type="dcterms:W3CDTF">2024-05-02T07:40:00Z</dcterms:created>
  <dcterms:modified xsi:type="dcterms:W3CDTF">2024-05-02T07:43:00Z</dcterms:modified>
</cp:coreProperties>
</file>