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FE" w:rsidRDefault="004E730A" w:rsidP="004E730A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tr-TR"/>
        </w:rPr>
      </w:pPr>
      <w:proofErr w:type="gramStart"/>
      <w:r>
        <w:rPr>
          <w:rFonts w:eastAsia="Times New Roman" w:cs="Times New Roman"/>
          <w:sz w:val="26"/>
          <w:szCs w:val="26"/>
          <w:lang w:eastAsia="tr-TR"/>
        </w:rPr>
        <w:t xml:space="preserve">Kuzey Kıbrıs Türk Cumhuriyeti Cumhuriyet Meclisi’nin 15 Nisan 2024 tarihli </w:t>
      </w:r>
      <w:proofErr w:type="spellStart"/>
      <w:r>
        <w:rPr>
          <w:rFonts w:eastAsia="Times New Roman" w:cs="Times New Roman"/>
          <w:sz w:val="26"/>
          <w:szCs w:val="26"/>
          <w:lang w:eastAsia="tr-TR"/>
        </w:rPr>
        <w:t>Kırkdokuzuncu</w:t>
      </w:r>
      <w:proofErr w:type="spellEnd"/>
      <w:r>
        <w:rPr>
          <w:rFonts w:eastAsia="Times New Roman" w:cs="Times New Roman"/>
          <w:sz w:val="26"/>
          <w:szCs w:val="26"/>
          <w:lang w:eastAsia="tr-TR"/>
        </w:rPr>
        <w:t xml:space="preserve"> Birleşiminde Oybirliğiyle (33 Oyla) kabul olunan “Kuzey Kıbrıs Eğitim Vakfı ve Doğu Akdeniz Üniversitesi 2024 Mali Yılı Ek Bütçe Yasası” Anayasanın 92’nci maddesinin (7)’</w:t>
      </w:r>
      <w:proofErr w:type="spellStart"/>
      <w:r>
        <w:rPr>
          <w:rFonts w:eastAsia="Times New Roman" w:cs="Times New Roman"/>
          <w:sz w:val="26"/>
          <w:szCs w:val="26"/>
          <w:lang w:eastAsia="tr-TR"/>
        </w:rPr>
        <w:t>nci</w:t>
      </w:r>
      <w:proofErr w:type="spellEnd"/>
      <w:r>
        <w:rPr>
          <w:rFonts w:eastAsia="Times New Roman" w:cs="Times New Roman"/>
          <w:sz w:val="26"/>
          <w:szCs w:val="26"/>
          <w:lang w:eastAsia="tr-TR"/>
        </w:rPr>
        <w:t xml:space="preserve"> fıkrası gereğince Kuzey Kıbrıs Türk Cumhuriyeti Cumhurbaşkanı tarafından Resmi </w:t>
      </w:r>
      <w:proofErr w:type="spellStart"/>
      <w:r>
        <w:rPr>
          <w:rFonts w:eastAsia="Times New Roman" w:cs="Times New Roman"/>
          <w:sz w:val="26"/>
          <w:szCs w:val="26"/>
          <w:lang w:eastAsia="tr-TR"/>
        </w:rPr>
        <w:t>Gazete’de</w:t>
      </w:r>
      <w:proofErr w:type="spellEnd"/>
      <w:r>
        <w:rPr>
          <w:rFonts w:eastAsia="Times New Roman" w:cs="Times New Roman"/>
          <w:sz w:val="26"/>
          <w:szCs w:val="26"/>
          <w:lang w:eastAsia="tr-TR"/>
        </w:rPr>
        <w:t xml:space="preserve"> yayımlanmak suretiyle ilan olunur.</w:t>
      </w:r>
      <w:proofErr w:type="gramEnd"/>
    </w:p>
    <w:p w:rsidR="004C07FE" w:rsidRPr="004C07FE" w:rsidRDefault="004E730A" w:rsidP="004E730A">
      <w:pPr>
        <w:spacing w:after="200" w:line="276" w:lineRule="auto"/>
        <w:jc w:val="center"/>
        <w:rPr>
          <w:rFonts w:eastAsia="Times New Roman" w:cs="Times New Roman"/>
          <w:sz w:val="26"/>
          <w:szCs w:val="26"/>
          <w:lang w:eastAsia="tr-TR"/>
        </w:rPr>
      </w:pPr>
      <w:r>
        <w:rPr>
          <w:rFonts w:eastAsia="Times New Roman" w:cs="Times New Roman"/>
          <w:sz w:val="26"/>
          <w:szCs w:val="26"/>
          <w:lang w:eastAsia="tr-TR"/>
        </w:rPr>
        <w:t>Sayı: 30/2024</w:t>
      </w:r>
    </w:p>
    <w:p w:rsidR="006107AD" w:rsidRPr="006107AD" w:rsidRDefault="006107AD" w:rsidP="006107AD">
      <w:pPr>
        <w:jc w:val="center"/>
        <w:rPr>
          <w:rFonts w:eastAsia="Times New Roman" w:cs="Times New Roman"/>
          <w:color w:val="000000"/>
          <w:sz w:val="24"/>
          <w:szCs w:val="24"/>
          <w:lang w:val="en-AU"/>
        </w:rPr>
      </w:pPr>
      <w:r w:rsidRPr="006107AD">
        <w:rPr>
          <w:rFonts w:eastAsia="Times New Roman" w:cs="Times New Roman"/>
          <w:color w:val="000000"/>
          <w:sz w:val="24"/>
          <w:szCs w:val="24"/>
          <w:lang w:val="en-AU"/>
        </w:rPr>
        <w:t>KUZEY KIBRIS EĞİTİM VAKFI VE DOĞU AKDENİZ ÜNİVERSİTESİ</w:t>
      </w:r>
    </w:p>
    <w:p w:rsidR="006107AD" w:rsidRPr="006107AD" w:rsidRDefault="006107AD" w:rsidP="006107AD">
      <w:pPr>
        <w:rPr>
          <w:rFonts w:eastAsia="Times New Roman" w:cs="Times New Roman"/>
          <w:color w:val="000000"/>
          <w:sz w:val="24"/>
          <w:szCs w:val="24"/>
          <w:lang w:val="en-AU"/>
        </w:rPr>
      </w:pPr>
      <w:r w:rsidRPr="006107AD">
        <w:rPr>
          <w:rFonts w:eastAsia="Times New Roman" w:cs="Times New Roman"/>
          <w:color w:val="000000"/>
          <w:sz w:val="24"/>
          <w:szCs w:val="24"/>
          <w:lang w:val="en-AU"/>
        </w:rPr>
        <w:t xml:space="preserve">                                                                           </w:t>
      </w:r>
      <w:r w:rsidR="00E900EE">
        <w:rPr>
          <w:rFonts w:eastAsia="Times New Roman" w:cs="Times New Roman"/>
          <w:color w:val="000000"/>
          <w:sz w:val="24"/>
          <w:szCs w:val="24"/>
          <w:lang w:val="en-AU"/>
        </w:rPr>
        <w:t xml:space="preserve">   2024 MALİ YILI EK BÜTÇE YASASI</w:t>
      </w:r>
    </w:p>
    <w:p w:rsidR="00F62C98" w:rsidRPr="00F62C98" w:rsidRDefault="00F62C98" w:rsidP="00F62C98">
      <w:pPr>
        <w:jc w:val="center"/>
        <w:rPr>
          <w:rFonts w:eastAsia="Times New Roman" w:cs="Times New Roman"/>
          <w:bCs/>
          <w:sz w:val="22"/>
          <w:lang w:eastAsia="tr-TR"/>
        </w:rPr>
      </w:pPr>
    </w:p>
    <w:p w:rsidR="00F62C98" w:rsidRPr="00F62C98" w:rsidRDefault="00F62C98" w:rsidP="00F62C98">
      <w:pPr>
        <w:rPr>
          <w:rFonts w:ascii="Arial" w:eastAsia="Times New Roman" w:hAnsi="Arial" w:cs="Arial"/>
          <w:sz w:val="22"/>
          <w:lang w:eastAsia="tr-TR"/>
        </w:rPr>
      </w:pPr>
    </w:p>
    <w:tbl>
      <w:tblPr>
        <w:tblW w:w="14268" w:type="dxa"/>
        <w:tblLook w:val="01E0" w:firstRow="1" w:lastRow="1" w:firstColumn="1" w:lastColumn="1" w:noHBand="0" w:noVBand="0"/>
      </w:tblPr>
      <w:tblGrid>
        <w:gridCol w:w="1809"/>
        <w:gridCol w:w="12459"/>
      </w:tblGrid>
      <w:tr w:rsidR="00F62C98" w:rsidRPr="00F62C98" w:rsidTr="00646AB6"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59" w:type="dxa"/>
            <w:shd w:val="clear" w:color="auto" w:fill="auto"/>
          </w:tcPr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            </w:t>
            </w:r>
            <w:r w:rsidR="00DC0CCE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    </w:t>
            </w: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Kuzey Kıbrıs Türk Cumhuriyeti Cumhuriyet Meclisi aşağıdaki Yasayı yapar:</w:t>
            </w:r>
          </w:p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F62C98" w:rsidRPr="00F62C98" w:rsidTr="00646AB6">
        <w:trPr>
          <w:trHeight w:val="586"/>
        </w:trPr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Kısa İsim</w:t>
            </w:r>
          </w:p>
          <w:p w:rsidR="00F62C98" w:rsidRPr="00F62C98" w:rsidRDefault="006107AD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88</w:t>
            </w:r>
            <w:r w:rsidR="00F62C98"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/2023</w:t>
            </w:r>
          </w:p>
        </w:tc>
        <w:tc>
          <w:tcPr>
            <w:tcW w:w="12459" w:type="dxa"/>
            <w:shd w:val="clear" w:color="auto" w:fill="auto"/>
          </w:tcPr>
          <w:p w:rsidR="00F62C98" w:rsidRPr="00F62C98" w:rsidRDefault="00F62C98" w:rsidP="006107AD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1. Bu Yasa, 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>Kuzey Kıbrıs Eğ</w:t>
            </w:r>
            <w:r w:rsidR="006107AD">
              <w:rPr>
                <w:rFonts w:eastAsia="Times New Roman" w:cs="Times New Roman"/>
                <w:sz w:val="24"/>
                <w:szCs w:val="24"/>
                <w:lang w:eastAsia="tr-TR"/>
              </w:rPr>
              <w:t>i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>tim Vakfı ve Doğu Akdeniz Üniversitesi 2024 Mali Yılı Ek Bütçe Yasası olarak isimlendirilir ve aşa</w:t>
            </w:r>
            <w:r w:rsidR="006107AD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ğıda “Esas Yasa” olarak anılan 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>Kuzey Kıbrıs Eğ</w:t>
            </w:r>
            <w:r w:rsidR="006107AD">
              <w:rPr>
                <w:rFonts w:eastAsia="Times New Roman" w:cs="Times New Roman"/>
                <w:sz w:val="24"/>
                <w:szCs w:val="24"/>
                <w:lang w:eastAsia="tr-TR"/>
              </w:rPr>
              <w:t>i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>tim Vakfı ve Doğu Akdeniz Üniversitesi 2024 Mali Yılı Bütçe Yasası ile birlikte okunur.</w:t>
            </w:r>
          </w:p>
        </w:tc>
      </w:tr>
      <w:tr w:rsidR="006107AD" w:rsidRPr="00F62C98" w:rsidTr="009626D4">
        <w:tc>
          <w:tcPr>
            <w:tcW w:w="14268" w:type="dxa"/>
            <w:gridSpan w:val="2"/>
            <w:shd w:val="clear" w:color="auto" w:fill="auto"/>
          </w:tcPr>
          <w:p w:rsidR="009626D4" w:rsidRPr="00F62C98" w:rsidRDefault="009626D4" w:rsidP="00DC0CCE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F62C98" w:rsidRPr="00F62C98" w:rsidTr="00646AB6">
        <w:tc>
          <w:tcPr>
            <w:tcW w:w="1809" w:type="dxa"/>
            <w:shd w:val="clear" w:color="auto" w:fill="auto"/>
          </w:tcPr>
          <w:p w:rsidR="006107AD" w:rsidRDefault="006107AD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31 Aralık 2024</w:t>
            </w:r>
            <w:r w:rsidR="00F62C98"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Tarihinde Sona Erecek </w:t>
            </w:r>
            <w:r w:rsidR="00DC0CCE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Olan </w:t>
            </w:r>
            <w:r w:rsidR="00F62C98"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Mali Yıl </w:t>
            </w:r>
            <w:r w:rsidR="00DC0CCE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Hizmetleri </w:t>
            </w:r>
            <w:r w:rsidR="00F62C98"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İçin Tahsis Edilen Ek Ödenekler</w:t>
            </w:r>
          </w:p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Cetvel I</w:t>
            </w:r>
          </w:p>
        </w:tc>
        <w:tc>
          <w:tcPr>
            <w:tcW w:w="12459" w:type="dxa"/>
            <w:shd w:val="clear" w:color="auto" w:fill="auto"/>
          </w:tcPr>
          <w:p w:rsidR="00F62C98" w:rsidRPr="00F62C98" w:rsidRDefault="00F62C98" w:rsidP="006107AD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2. Esas Yasanın 2’nci maddesine bağlı “A” Ödenekler Cetvelinde, 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>2024 Mali Yılında 5,614,628,000.-</w:t>
            </w:r>
            <w:r w:rsidR="0061168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>TL (Beş Milyar</w:t>
            </w:r>
            <w:r w:rsidR="006107AD">
              <w:rPr>
                <w:rFonts w:eastAsia="Times New Roman" w:cs="Times New Roman"/>
                <w:sz w:val="24"/>
                <w:szCs w:val="24"/>
                <w:lang w:eastAsia="tr-TR"/>
              </w:rPr>
              <w:t>,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Altı Yüz On Dört Milyon</w:t>
            </w:r>
            <w:r w:rsidR="006107AD">
              <w:rPr>
                <w:rFonts w:eastAsia="Times New Roman" w:cs="Times New Roman"/>
                <w:sz w:val="24"/>
                <w:szCs w:val="24"/>
                <w:lang w:eastAsia="tr-TR"/>
              </w:rPr>
              <w:t>,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Altı Yüz Yirmi Sekiz Bin Türk Lirası) olarak tahsis edilen ödeneklere,</w:t>
            </w:r>
            <w:r w:rsidR="006107AD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E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>k’te belirtilen Cetvele bağlı  yeni ödenek kalemine toplam 1,000,000,000.-</w:t>
            </w:r>
            <w:r w:rsidR="00DC0CCE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>TL (Bir Milyar Türk Lirası) eklenmesi suretiyle toplam 6,614,628,000.-</w:t>
            </w:r>
            <w:r w:rsidR="0061168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>TL  (Altı Milyar</w:t>
            </w:r>
            <w:r w:rsidR="006107AD">
              <w:rPr>
                <w:rFonts w:eastAsia="Times New Roman" w:cs="Times New Roman"/>
                <w:sz w:val="24"/>
                <w:szCs w:val="24"/>
                <w:lang w:eastAsia="tr-TR"/>
              </w:rPr>
              <w:t>,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Altı Yüz On Dört Milyon</w:t>
            </w:r>
            <w:r w:rsidR="006107AD">
              <w:rPr>
                <w:rFonts w:eastAsia="Times New Roman" w:cs="Times New Roman"/>
                <w:sz w:val="24"/>
                <w:szCs w:val="24"/>
                <w:lang w:eastAsia="tr-TR"/>
              </w:rPr>
              <w:t>,</w:t>
            </w:r>
            <w:r w:rsidR="006107AD" w:rsidRPr="006107AD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Altı Yüz Yirmi Sekiz Bin Türk Lirası) ödenek tahsis edilir.</w:t>
            </w:r>
          </w:p>
        </w:tc>
      </w:tr>
      <w:tr w:rsidR="006107AD" w:rsidRPr="00F62C98" w:rsidTr="009626D4">
        <w:tc>
          <w:tcPr>
            <w:tcW w:w="14268" w:type="dxa"/>
            <w:gridSpan w:val="2"/>
            <w:shd w:val="clear" w:color="auto" w:fill="auto"/>
          </w:tcPr>
          <w:p w:rsidR="006107AD" w:rsidRPr="00F62C98" w:rsidRDefault="006107AD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E637B" w:rsidRDefault="007E637B">
      <w:r>
        <w:br w:type="page"/>
      </w:r>
    </w:p>
    <w:tbl>
      <w:tblPr>
        <w:tblW w:w="14268" w:type="dxa"/>
        <w:tblLook w:val="01E0" w:firstRow="1" w:lastRow="1" w:firstColumn="1" w:lastColumn="1" w:noHBand="0" w:noVBand="0"/>
      </w:tblPr>
      <w:tblGrid>
        <w:gridCol w:w="1809"/>
        <w:gridCol w:w="12459"/>
      </w:tblGrid>
      <w:tr w:rsidR="00F62C98" w:rsidRPr="00F62C98" w:rsidTr="00646AB6"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lastRenderedPageBreak/>
              <w:t>Ek Bütçenin Finansmanı</w:t>
            </w:r>
          </w:p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Cetvel II</w:t>
            </w:r>
          </w:p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59" w:type="dxa"/>
            <w:shd w:val="clear" w:color="auto" w:fill="auto"/>
          </w:tcPr>
          <w:p w:rsid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3. Esas Yasanın 3’üncü maddesine bağlı “B” Gelirler Cetvelinde; </w:t>
            </w:r>
          </w:p>
          <w:p w:rsidR="006107AD" w:rsidRDefault="00956E1F" w:rsidP="00F62C9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– </w:t>
            </w:r>
            <w:r w:rsidR="006107AD">
              <w:rPr>
                <w:sz w:val="24"/>
                <w:szCs w:val="24"/>
              </w:rPr>
              <w:t>4,619,000,000.-</w:t>
            </w:r>
            <w:r w:rsidR="00DC0CCE">
              <w:rPr>
                <w:sz w:val="24"/>
                <w:szCs w:val="24"/>
              </w:rPr>
              <w:t xml:space="preserve"> </w:t>
            </w:r>
            <w:r w:rsidR="006107AD">
              <w:rPr>
                <w:sz w:val="24"/>
                <w:szCs w:val="24"/>
              </w:rPr>
              <w:t>TL (Dört Milyar, Altı Yüz On Dokuz Milyon Türk Lirası) olan Hizmet Gelirlerinin 271,314,000.-</w:t>
            </w:r>
            <w:r w:rsidR="00DC0CCE">
              <w:rPr>
                <w:sz w:val="24"/>
                <w:szCs w:val="24"/>
              </w:rPr>
              <w:t xml:space="preserve"> </w:t>
            </w:r>
            <w:r w:rsidR="006107AD">
              <w:rPr>
                <w:sz w:val="24"/>
                <w:szCs w:val="24"/>
              </w:rPr>
              <w:t>TL (İki Yüz Yetmiş Bir Milyon, Üç Yüz On Dört Bin Türk Lirası) artırılması,</w:t>
            </w:r>
          </w:p>
          <w:p w:rsidR="006107AD" w:rsidRDefault="00956E1F" w:rsidP="00F62C9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– </w:t>
            </w:r>
            <w:r w:rsidR="006107AD">
              <w:rPr>
                <w:sz w:val="24"/>
                <w:szCs w:val="24"/>
              </w:rPr>
              <w:t>271,314,000.-</w:t>
            </w:r>
            <w:r w:rsidR="00DC0CCE">
              <w:rPr>
                <w:sz w:val="24"/>
                <w:szCs w:val="24"/>
              </w:rPr>
              <w:t xml:space="preserve"> </w:t>
            </w:r>
            <w:r w:rsidR="006107AD">
              <w:rPr>
                <w:sz w:val="24"/>
                <w:szCs w:val="24"/>
              </w:rPr>
              <w:t>TL (İki Yüz Yetmiş Bir Milyon, Üç Yüz On Dört Bin Türk Lirası) olan Diğer Gelirlerin 728,686,000.-</w:t>
            </w:r>
            <w:r w:rsidR="00DC0CCE">
              <w:rPr>
                <w:sz w:val="24"/>
                <w:szCs w:val="24"/>
              </w:rPr>
              <w:t xml:space="preserve"> </w:t>
            </w:r>
            <w:r w:rsidR="006107AD">
              <w:rPr>
                <w:sz w:val="24"/>
                <w:szCs w:val="24"/>
              </w:rPr>
              <w:t xml:space="preserve">TL (Yedi Yüz Yirmi Sekiz Milyon, Altı Yüz Seksen Altı Bin Türk Lirası) artırılması, </w:t>
            </w:r>
          </w:p>
          <w:p w:rsidR="00F62C98" w:rsidRPr="00F62C98" w:rsidRDefault="006107AD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</w:rPr>
              <w:t>suretiyle 2024 Mali Yılında 5,614,628,000.-</w:t>
            </w:r>
            <w:r w:rsidR="00DC0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TL (Beş Milyar</w:t>
            </w:r>
            <w:r w:rsidR="00956E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Altı Yüz On Dört Milyon</w:t>
            </w:r>
            <w:r w:rsidR="00956E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Altı Yüz Yirmi Sekiz Bin Türk Lirası) olarak öngörülen gelirler, Ek’te belirtilen kalemlere toplam 1,000,000,000.-TL (Bir Milyar Türk Lirası) eklenmek suretiyle toplam 6,614,628,000.-</w:t>
            </w:r>
            <w:r w:rsidR="00DC0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TL (Altı Milyar, Altı Yüz On Dört Milyon, Altı Yüz Yirmi Sekiz Bin Türk Lirası) gelir öngörülür.</w:t>
            </w:r>
          </w:p>
        </w:tc>
      </w:tr>
      <w:tr w:rsidR="006107AD" w:rsidRPr="00F62C98" w:rsidTr="009626D4">
        <w:tc>
          <w:tcPr>
            <w:tcW w:w="14268" w:type="dxa"/>
            <w:gridSpan w:val="2"/>
            <w:shd w:val="clear" w:color="auto" w:fill="auto"/>
          </w:tcPr>
          <w:p w:rsidR="006107AD" w:rsidRPr="00F62C98" w:rsidRDefault="006107AD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F62C98" w:rsidRPr="00F62C98" w:rsidTr="00646AB6"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Yürürlüğe Giriş</w:t>
            </w:r>
          </w:p>
        </w:tc>
        <w:tc>
          <w:tcPr>
            <w:tcW w:w="1245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4. Bu Yasa, Resmi Gazete’de yayımlandığı tarihten başlayarak yürürlüğe girer. </w:t>
            </w:r>
          </w:p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17F09" w:rsidRDefault="00217F09" w:rsidP="001339FA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tr-TR"/>
        </w:rPr>
      </w:pPr>
    </w:p>
    <w:p w:rsidR="00217F09" w:rsidRDefault="00217F09">
      <w:pPr>
        <w:spacing w:after="200" w:line="276" w:lineRule="auto"/>
        <w:rPr>
          <w:rFonts w:eastAsia="Times New Roman" w:cs="Times New Roman"/>
          <w:sz w:val="26"/>
          <w:szCs w:val="26"/>
          <w:lang w:eastAsia="tr-TR"/>
        </w:rPr>
      </w:pPr>
      <w:r>
        <w:rPr>
          <w:rFonts w:eastAsia="Times New Roman" w:cs="Times New Roman"/>
          <w:sz w:val="26"/>
          <w:szCs w:val="26"/>
          <w:lang w:eastAsia="tr-TR"/>
        </w:rPr>
        <w:br w:type="page"/>
      </w:r>
    </w:p>
    <w:tbl>
      <w:tblPr>
        <w:tblW w:w="15964" w:type="dxa"/>
        <w:tblInd w:w="-1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451"/>
        <w:gridCol w:w="407"/>
        <w:gridCol w:w="407"/>
        <w:gridCol w:w="407"/>
        <w:gridCol w:w="430"/>
        <w:gridCol w:w="547"/>
        <w:gridCol w:w="421"/>
        <w:gridCol w:w="421"/>
        <w:gridCol w:w="421"/>
        <w:gridCol w:w="421"/>
        <w:gridCol w:w="6180"/>
        <w:gridCol w:w="1400"/>
        <w:gridCol w:w="1800"/>
        <w:gridCol w:w="1800"/>
      </w:tblGrid>
      <w:tr w:rsidR="00880B5E" w:rsidRPr="00217F09" w:rsidTr="00D637EF">
        <w:trPr>
          <w:trHeight w:val="630"/>
        </w:trPr>
        <w:tc>
          <w:tcPr>
            <w:tcW w:w="478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0B5E" w:rsidRPr="00217F09" w:rsidRDefault="00880B5E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5E" w:rsidRPr="00217F09" w:rsidRDefault="00880B5E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CETVEL I</w:t>
            </w:r>
          </w:p>
          <w:p w:rsidR="00880B5E" w:rsidRPr="00217F09" w:rsidRDefault="00880B5E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(Madde 2)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0B5E" w:rsidRPr="00217F09" w:rsidRDefault="00880B5E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17F09" w:rsidRPr="00217F09" w:rsidTr="00217F09">
        <w:trPr>
          <w:trHeight w:val="315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Fonk</w:t>
            </w:r>
            <w:proofErr w:type="spellEnd"/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shd w:val="clear" w:color="000000" w:fill="E0E0E0"/>
            <w:textDirection w:val="btLr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Fin.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Ekonomik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Ödeneğin Adı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2024 Bütçe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2024 Ek Bütçe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292829"/>
              <w:bottom w:val="single" w:sz="8" w:space="0" w:color="292829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Revize Bütçe</w:t>
            </w:r>
          </w:p>
        </w:tc>
      </w:tr>
      <w:tr w:rsidR="00217F09" w:rsidRPr="00217F09" w:rsidTr="00217F09">
        <w:trPr>
          <w:trHeight w:val="6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F3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E4</w:t>
            </w: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292829"/>
              <w:bottom w:val="single" w:sz="8" w:space="0" w:color="292829"/>
              <w:right w:val="single" w:sz="4" w:space="0" w:color="auto"/>
            </w:tcBorders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17F09" w:rsidRPr="00217F09" w:rsidTr="00217F09">
        <w:trPr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80" w:type="dxa"/>
            <w:tcBorders>
              <w:top w:val="single" w:sz="4" w:space="0" w:color="292829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KUZEY KIBRIS EĞİTİM VAKFI VE DOĞU AKDENİZ ÜNİVERSİTESİ</w:t>
            </w:r>
          </w:p>
        </w:tc>
        <w:tc>
          <w:tcPr>
            <w:tcW w:w="1400" w:type="dxa"/>
            <w:tcBorders>
              <w:top w:val="single" w:sz="4" w:space="0" w:color="292829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single" w:sz="4" w:space="0" w:color="292829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1.000.000.000 </w:t>
            </w:r>
          </w:p>
        </w:tc>
        <w:tc>
          <w:tcPr>
            <w:tcW w:w="1800" w:type="dxa"/>
            <w:tcBorders>
              <w:top w:val="single" w:sz="4" w:space="0" w:color="292829"/>
              <w:left w:val="nil"/>
              <w:bottom w:val="single" w:sz="4" w:space="0" w:color="29282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1.000.000.000 </w:t>
            </w:r>
          </w:p>
        </w:tc>
      </w:tr>
      <w:tr w:rsidR="00217F09" w:rsidRPr="00217F09" w:rsidTr="00217F09">
        <w:trPr>
          <w:trHeight w:val="315"/>
        </w:trPr>
        <w:tc>
          <w:tcPr>
            <w:tcW w:w="451" w:type="dxa"/>
            <w:tcBorders>
              <w:top w:val="single" w:sz="4" w:space="0" w:color="292829"/>
              <w:left w:val="single" w:sz="4" w:space="0" w:color="auto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51" w:type="dxa"/>
            <w:tcBorders>
              <w:top w:val="single" w:sz="4" w:space="0" w:color="292829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Kıdem Tazminatları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   1.000.000.000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   1.000.000.000 </w:t>
            </w:r>
          </w:p>
        </w:tc>
      </w:tr>
    </w:tbl>
    <w:p w:rsidR="00F94294" w:rsidRDefault="00F94294" w:rsidP="001339FA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tr-TR"/>
        </w:rPr>
      </w:pPr>
    </w:p>
    <w:p w:rsidR="00217F09" w:rsidRDefault="00217F09" w:rsidP="001339FA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tr-TR"/>
        </w:rPr>
      </w:pPr>
    </w:p>
    <w:p w:rsidR="00217F09" w:rsidRDefault="00217F09" w:rsidP="001339FA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tr-TR"/>
        </w:rPr>
      </w:pPr>
    </w:p>
    <w:p w:rsidR="00217F09" w:rsidRDefault="00217F09" w:rsidP="001339FA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tr-TR"/>
        </w:rPr>
      </w:pPr>
    </w:p>
    <w:p w:rsidR="00217F09" w:rsidRDefault="00217F09" w:rsidP="001339FA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tr-TR"/>
        </w:rPr>
      </w:pPr>
    </w:p>
    <w:tbl>
      <w:tblPr>
        <w:tblW w:w="15876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0"/>
        <w:gridCol w:w="430"/>
        <w:gridCol w:w="421"/>
        <w:gridCol w:w="7103"/>
        <w:gridCol w:w="1583"/>
        <w:gridCol w:w="1466"/>
        <w:gridCol w:w="4022"/>
      </w:tblGrid>
      <w:tr w:rsidR="00880B5E" w:rsidRPr="00217F09" w:rsidTr="00E14DDE">
        <w:trPr>
          <w:trHeight w:val="645"/>
        </w:trPr>
        <w:tc>
          <w:tcPr>
            <w:tcW w:w="17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5E" w:rsidRPr="00217F09" w:rsidRDefault="00880B5E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1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5E" w:rsidRPr="00217F09" w:rsidRDefault="00880B5E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CETVEL II</w:t>
            </w:r>
          </w:p>
          <w:p w:rsidR="00880B5E" w:rsidRPr="00217F09" w:rsidRDefault="00880B5E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(Madde 3)</w:t>
            </w:r>
          </w:p>
        </w:tc>
        <w:tc>
          <w:tcPr>
            <w:tcW w:w="4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5E" w:rsidRPr="00217F09" w:rsidRDefault="00880B5E" w:rsidP="00217F09">
            <w:pP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17F09" w:rsidRPr="00217F09" w:rsidTr="00217F09">
        <w:trPr>
          <w:trHeight w:val="315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Ekonomik</w:t>
            </w:r>
          </w:p>
        </w:tc>
        <w:tc>
          <w:tcPr>
            <w:tcW w:w="7103" w:type="dxa"/>
            <w:vMerge w:val="restart"/>
            <w:tcBorders>
              <w:top w:val="single" w:sz="8" w:space="0" w:color="auto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Gelirin Nevi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2024 BÜTÇE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2024 Ek Bütçe</w:t>
            </w:r>
          </w:p>
        </w:tc>
        <w:tc>
          <w:tcPr>
            <w:tcW w:w="4022" w:type="dxa"/>
            <w:vMerge w:val="restart"/>
            <w:tcBorders>
              <w:top w:val="single" w:sz="8" w:space="0" w:color="auto"/>
              <w:left w:val="single" w:sz="4" w:space="0" w:color="292829"/>
              <w:bottom w:val="single" w:sz="8" w:space="0" w:color="292829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Revize Bütçe</w:t>
            </w:r>
          </w:p>
        </w:tc>
      </w:tr>
      <w:tr w:rsidR="00217F09" w:rsidRPr="00217F09" w:rsidTr="00217F09">
        <w:trPr>
          <w:trHeight w:val="64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292829"/>
              <w:right w:val="single" w:sz="4" w:space="0" w:color="292829"/>
            </w:tcBorders>
            <w:shd w:val="clear" w:color="000000" w:fill="E0E0E0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E4</w:t>
            </w:r>
          </w:p>
        </w:tc>
        <w:tc>
          <w:tcPr>
            <w:tcW w:w="7103" w:type="dxa"/>
            <w:vMerge/>
            <w:tcBorders>
              <w:top w:val="single" w:sz="8" w:space="0" w:color="auto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4" w:space="0" w:color="292829"/>
              <w:bottom w:val="single" w:sz="8" w:space="0" w:color="292829"/>
              <w:right w:val="single" w:sz="4" w:space="0" w:color="292829"/>
            </w:tcBorders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22" w:type="dxa"/>
            <w:vMerge/>
            <w:tcBorders>
              <w:top w:val="single" w:sz="8" w:space="0" w:color="auto"/>
              <w:left w:val="single" w:sz="4" w:space="0" w:color="292829"/>
              <w:bottom w:val="single" w:sz="8" w:space="0" w:color="292829"/>
              <w:right w:val="single" w:sz="8" w:space="0" w:color="auto"/>
            </w:tcBorders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17F09" w:rsidRPr="00217F09" w:rsidTr="00217F09">
        <w:trPr>
          <w:trHeight w:val="31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textDirection w:val="btLr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textDirection w:val="btLr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GELİRLER</w:t>
            </w:r>
          </w:p>
        </w:tc>
        <w:tc>
          <w:tcPr>
            <w:tcW w:w="1583" w:type="dxa"/>
            <w:tcBorders>
              <w:top w:val="single" w:sz="4" w:space="0" w:color="292829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tcBorders>
              <w:top w:val="single" w:sz="4" w:space="0" w:color="292829"/>
              <w:left w:val="nil"/>
              <w:bottom w:val="single" w:sz="4" w:space="0" w:color="292829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22" w:type="dxa"/>
            <w:tcBorders>
              <w:top w:val="single" w:sz="4" w:space="0" w:color="292829"/>
              <w:left w:val="nil"/>
              <w:bottom w:val="single" w:sz="4" w:space="0" w:color="29282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17F09" w:rsidRPr="00217F09" w:rsidTr="00217F09">
        <w:trPr>
          <w:trHeight w:val="31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TC Öğrenci Eğitim Gelirleri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1.989.100.000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 141.000.000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2.130.100.000 </w:t>
            </w:r>
          </w:p>
        </w:tc>
      </w:tr>
      <w:tr w:rsidR="00217F09" w:rsidRPr="00217F09" w:rsidTr="00217F09">
        <w:trPr>
          <w:trHeight w:val="315"/>
        </w:trPr>
        <w:tc>
          <w:tcPr>
            <w:tcW w:w="421" w:type="dxa"/>
            <w:tcBorders>
              <w:top w:val="single" w:sz="4" w:space="0" w:color="292829"/>
              <w:left w:val="single" w:sz="8" w:space="0" w:color="auto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430" w:type="dxa"/>
            <w:tcBorders>
              <w:top w:val="single" w:sz="4" w:space="0" w:color="292829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0" w:type="dxa"/>
            <w:tcBorders>
              <w:top w:val="single" w:sz="4" w:space="0" w:color="292829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1" w:type="dxa"/>
            <w:tcBorders>
              <w:top w:val="single" w:sz="4" w:space="0" w:color="292829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7103" w:type="dxa"/>
            <w:tcBorders>
              <w:top w:val="single" w:sz="4" w:space="0" w:color="292829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3. Uyruklu </w:t>
            </w:r>
            <w:proofErr w:type="spellStart"/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. Eğitim Gelirleri</w:t>
            </w:r>
          </w:p>
        </w:tc>
        <w:tc>
          <w:tcPr>
            <w:tcW w:w="1583" w:type="dxa"/>
            <w:tcBorders>
              <w:top w:val="single" w:sz="4" w:space="0" w:color="292829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1.908.400.000 </w:t>
            </w:r>
          </w:p>
        </w:tc>
        <w:tc>
          <w:tcPr>
            <w:tcW w:w="1466" w:type="dxa"/>
            <w:tcBorders>
              <w:top w:val="single" w:sz="4" w:space="0" w:color="292829"/>
              <w:left w:val="nil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 130.314.000 </w:t>
            </w:r>
          </w:p>
        </w:tc>
        <w:tc>
          <w:tcPr>
            <w:tcW w:w="4022" w:type="dxa"/>
            <w:tcBorders>
              <w:top w:val="single" w:sz="4" w:space="0" w:color="292829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2.038.714.000 </w:t>
            </w:r>
          </w:p>
        </w:tc>
      </w:tr>
      <w:tr w:rsidR="00217F09" w:rsidRPr="00217F09" w:rsidTr="00217F09">
        <w:trPr>
          <w:trHeight w:val="330"/>
        </w:trPr>
        <w:tc>
          <w:tcPr>
            <w:tcW w:w="421" w:type="dxa"/>
            <w:tcBorders>
              <w:top w:val="single" w:sz="4" w:space="0" w:color="292829"/>
              <w:left w:val="single" w:sz="8" w:space="0" w:color="auto"/>
              <w:bottom w:val="single" w:sz="4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430" w:type="dxa"/>
            <w:tcBorders>
              <w:top w:val="single" w:sz="4" w:space="0" w:color="292829"/>
              <w:left w:val="nil"/>
              <w:bottom w:val="single" w:sz="8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30" w:type="dxa"/>
            <w:tcBorders>
              <w:top w:val="single" w:sz="4" w:space="0" w:color="292829"/>
              <w:left w:val="nil"/>
              <w:bottom w:val="single" w:sz="8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1" w:type="dxa"/>
            <w:tcBorders>
              <w:top w:val="single" w:sz="4" w:space="0" w:color="292829"/>
              <w:left w:val="nil"/>
              <w:bottom w:val="single" w:sz="8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03" w:type="dxa"/>
            <w:tcBorders>
              <w:top w:val="single" w:sz="4" w:space="0" w:color="292829"/>
              <w:left w:val="nil"/>
              <w:bottom w:val="single" w:sz="8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İç Kaynaklar</w:t>
            </w:r>
          </w:p>
        </w:tc>
        <w:tc>
          <w:tcPr>
            <w:tcW w:w="1583" w:type="dxa"/>
            <w:tcBorders>
              <w:top w:val="single" w:sz="4" w:space="0" w:color="292829"/>
              <w:left w:val="nil"/>
              <w:bottom w:val="single" w:sz="8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   271.314.000 </w:t>
            </w:r>
          </w:p>
        </w:tc>
        <w:tc>
          <w:tcPr>
            <w:tcW w:w="1466" w:type="dxa"/>
            <w:tcBorders>
              <w:top w:val="single" w:sz="4" w:space="0" w:color="292829"/>
              <w:left w:val="nil"/>
              <w:bottom w:val="single" w:sz="8" w:space="0" w:color="auto"/>
              <w:right w:val="single" w:sz="4" w:space="0" w:color="292829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 728.686.000 </w:t>
            </w:r>
          </w:p>
        </w:tc>
        <w:tc>
          <w:tcPr>
            <w:tcW w:w="4022" w:type="dxa"/>
            <w:tcBorders>
              <w:top w:val="single" w:sz="4" w:space="0" w:color="292829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F09" w:rsidRPr="00217F09" w:rsidRDefault="00217F09" w:rsidP="00217F0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17F09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1.000.000.000 </w:t>
            </w:r>
          </w:p>
        </w:tc>
      </w:tr>
    </w:tbl>
    <w:p w:rsidR="00217F09" w:rsidRDefault="00217F09" w:rsidP="001339FA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tr-TR"/>
        </w:rPr>
      </w:pPr>
    </w:p>
    <w:sectPr w:rsidR="00217F09" w:rsidSect="004C07FE">
      <w:pgSz w:w="16838" w:h="11906" w:orient="landscape"/>
      <w:pgMar w:top="1417" w:right="195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EE"/>
    <w:rsid w:val="000C3C25"/>
    <w:rsid w:val="00112424"/>
    <w:rsid w:val="001339FA"/>
    <w:rsid w:val="00217F09"/>
    <w:rsid w:val="002501EE"/>
    <w:rsid w:val="003C7388"/>
    <w:rsid w:val="003F32E0"/>
    <w:rsid w:val="00411461"/>
    <w:rsid w:val="0041696C"/>
    <w:rsid w:val="004C07FE"/>
    <w:rsid w:val="004E730A"/>
    <w:rsid w:val="00584929"/>
    <w:rsid w:val="006107AD"/>
    <w:rsid w:val="00611687"/>
    <w:rsid w:val="00646AB6"/>
    <w:rsid w:val="00674CE1"/>
    <w:rsid w:val="006825AE"/>
    <w:rsid w:val="00690303"/>
    <w:rsid w:val="00752373"/>
    <w:rsid w:val="007E637B"/>
    <w:rsid w:val="008041FD"/>
    <w:rsid w:val="008728C1"/>
    <w:rsid w:val="00880B5E"/>
    <w:rsid w:val="008C0493"/>
    <w:rsid w:val="00956E1F"/>
    <w:rsid w:val="009626D4"/>
    <w:rsid w:val="009C06E7"/>
    <w:rsid w:val="009C1A05"/>
    <w:rsid w:val="009D3538"/>
    <w:rsid w:val="00B1552F"/>
    <w:rsid w:val="00B65E06"/>
    <w:rsid w:val="00C15B25"/>
    <w:rsid w:val="00CF1F78"/>
    <w:rsid w:val="00D14686"/>
    <w:rsid w:val="00DC0CCE"/>
    <w:rsid w:val="00DC6879"/>
    <w:rsid w:val="00E03C1F"/>
    <w:rsid w:val="00E900EE"/>
    <w:rsid w:val="00F62C98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EE"/>
    <w:pPr>
      <w:spacing w:after="0" w:line="240" w:lineRule="auto"/>
    </w:pPr>
    <w:rPr>
      <w:rFonts w:ascii="Times New Roman" w:hAnsi="Times New Roman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EE"/>
    <w:pPr>
      <w:spacing w:after="0" w:line="240" w:lineRule="auto"/>
    </w:pPr>
    <w:rPr>
      <w:rFonts w:ascii="Times New Roman" w:hAnsi="Times New Roman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508D-3C3A-4ABA-BD0A-3255A183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Alara Ataç</dc:creator>
  <cp:lastModifiedBy>Necdet Özbay</cp:lastModifiedBy>
  <cp:revision>4</cp:revision>
  <cp:lastPrinted>2024-04-15T08:25:00Z</cp:lastPrinted>
  <dcterms:created xsi:type="dcterms:W3CDTF">2024-04-19T08:44:00Z</dcterms:created>
  <dcterms:modified xsi:type="dcterms:W3CDTF">2024-04-19T09:10:00Z</dcterms:modified>
</cp:coreProperties>
</file>