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D" w:rsidRDefault="001F4B8D" w:rsidP="001F4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Meclisi'nin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2 Mart 2020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Kırkdördüncü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Çalışanlarının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Aylık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Maaş-Ücret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Ödeneklerinin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Düzenlenmesi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94'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üncü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(l)'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8D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B8D" w:rsidRDefault="001F4B8D" w:rsidP="001F4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8D" w:rsidRPr="001F4B8D" w:rsidRDefault="001F4B8D" w:rsidP="001F4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proofErr w:type="spellStart"/>
      <w:r w:rsidRPr="001F4B8D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1F4B8D">
        <w:rPr>
          <w:rFonts w:ascii="Times New Roman" w:hAnsi="Times New Roman" w:cs="Times New Roman"/>
          <w:sz w:val="24"/>
          <w:szCs w:val="24"/>
        </w:rPr>
        <w:t xml:space="preserve"> : 12/2020</w:t>
      </w:r>
    </w:p>
    <w:p w:rsidR="001F4B8D" w:rsidRDefault="001F4B8D" w:rsidP="00EB2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2638" w:rsidRPr="00B14F1D" w:rsidRDefault="004F2638" w:rsidP="00EB2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14F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KAMU ÇALIŞANLARININ AYLIK (MAAŞ-ÜCRET) VE DİĞER ÖDENEKLERİNİN </w:t>
      </w:r>
      <w:r w:rsidRPr="00B14F1D">
        <w:rPr>
          <w:rFonts w:ascii="Times New Roman" w:eastAsia="Times New Roman" w:hAnsi="Times New Roman" w:cs="Times New Roman"/>
          <w:spacing w:val="-3"/>
          <w:sz w:val="24"/>
          <w:szCs w:val="24"/>
        </w:rPr>
        <w:t>DÜZENLENMESİ (DEĞİŞİKLİK) YASA</w:t>
      </w:r>
      <w:r w:rsidR="00F83735">
        <w:rPr>
          <w:rFonts w:ascii="Times New Roman" w:eastAsia="Times New Roman" w:hAnsi="Times New Roman" w:cs="Times New Roman"/>
          <w:spacing w:val="-3"/>
          <w:sz w:val="24"/>
          <w:szCs w:val="24"/>
        </w:rPr>
        <w:t>SI</w:t>
      </w:r>
    </w:p>
    <w:p w:rsidR="0014232F" w:rsidRPr="00B14F1D" w:rsidRDefault="004F2638" w:rsidP="00EB20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4F1D">
        <w:rPr>
          <w:rFonts w:ascii="Times New Roman" w:eastAsia="Times New Roman" w:hAnsi="Times New Roman" w:cs="Times New Roman"/>
          <w:noProof/>
          <w:sz w:val="24"/>
          <w:szCs w:val="24"/>
          <w:lang w:val="tr-TR"/>
        </w:rPr>
        <w:t xml:space="preserve">             </w:t>
      </w:r>
    </w:p>
    <w:p w:rsidR="0014232F" w:rsidRPr="00B14F1D" w:rsidRDefault="0014232F" w:rsidP="00EB20B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4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TableGrid"/>
        <w:tblW w:w="48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78"/>
        <w:gridCol w:w="153"/>
        <w:gridCol w:w="708"/>
        <w:gridCol w:w="703"/>
        <w:gridCol w:w="287"/>
        <w:gridCol w:w="421"/>
        <w:gridCol w:w="145"/>
        <w:gridCol w:w="160"/>
        <w:gridCol w:w="4793"/>
      </w:tblGrid>
      <w:tr w:rsidR="0028596F" w:rsidRPr="00B14F1D" w:rsidTr="00030819">
        <w:tc>
          <w:tcPr>
            <w:tcW w:w="897" w:type="pct"/>
          </w:tcPr>
          <w:p w:rsidR="00E3471C" w:rsidRPr="00B14F1D" w:rsidRDefault="00E3471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3" w:type="pct"/>
            <w:gridSpan w:val="9"/>
          </w:tcPr>
          <w:p w:rsidR="00E3471C" w:rsidRPr="00B14F1D" w:rsidRDefault="00E3471C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Kuzey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Kıbrıs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Türk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Cumhuriyeti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Cumhuriyet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Meclisi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aşağıdaki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Yasayı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yapar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28596F" w:rsidRPr="00B14F1D" w:rsidTr="00030819">
        <w:tc>
          <w:tcPr>
            <w:tcW w:w="897" w:type="pct"/>
          </w:tcPr>
          <w:p w:rsidR="00E3471C" w:rsidRPr="00B14F1D" w:rsidRDefault="00E3471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3" w:type="pct"/>
            <w:gridSpan w:val="9"/>
          </w:tcPr>
          <w:p w:rsidR="00E3471C" w:rsidRDefault="00E3471C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596F" w:rsidRPr="00B14F1D" w:rsidTr="00030819">
        <w:tc>
          <w:tcPr>
            <w:tcW w:w="897" w:type="pct"/>
          </w:tcPr>
          <w:p w:rsidR="000A70C5" w:rsidRPr="00B14F1D" w:rsidRDefault="004F2638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Kısa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A70C5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İsim</w:t>
            </w:r>
            <w:proofErr w:type="spellEnd"/>
          </w:p>
          <w:p w:rsidR="00673E83" w:rsidRPr="00B14F1D" w:rsidRDefault="009E210D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47/2010   </w:t>
            </w:r>
          </w:p>
          <w:p w:rsidR="00673E83" w:rsidRPr="00B14F1D" w:rsidRDefault="000A70C5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73E83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33/2013 </w:t>
            </w:r>
            <w:r w:rsidR="0054044C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673E83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673E83" w:rsidRPr="00B14F1D" w:rsidRDefault="00673E83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54044C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18/2014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673E83" w:rsidRPr="00B14F1D" w:rsidRDefault="00673E83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CD0F7E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CD0F7E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4/2015</w:t>
            </w:r>
          </w:p>
          <w:p w:rsidR="00673E83" w:rsidRPr="00B14F1D" w:rsidRDefault="00673E83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D2F18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46/2015    </w:t>
            </w: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0F7E" w:rsidRPr="00B14F1D" w:rsidRDefault="00E3471C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673E83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D2F18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45/2017    </w:t>
            </w:r>
            <w:r w:rsidR="00AD2F18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CD0F7E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CD0F7E" w:rsidRPr="00B14F1D" w:rsidRDefault="00CD0F7E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66/2017      </w:t>
            </w: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4F2638" w:rsidRPr="00B14F1D" w:rsidRDefault="00CD0F7E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0A70C5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4/2018</w:t>
            </w:r>
          </w:p>
          <w:p w:rsidR="000A70C5" w:rsidRPr="00B14F1D" w:rsidRDefault="00CD0F7E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47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73E83"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36/2018</w:t>
            </w:r>
          </w:p>
        </w:tc>
        <w:tc>
          <w:tcPr>
            <w:tcW w:w="4103" w:type="pct"/>
            <w:gridSpan w:val="9"/>
          </w:tcPr>
          <w:p w:rsidR="004F2638" w:rsidRPr="00EB20BB" w:rsidRDefault="00EB20BB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Bu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Kamu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Çalışanlarının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Aylık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Maa</w:t>
            </w:r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ş-Ücret</w:t>
            </w:r>
            <w:proofErr w:type="spellEnd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</w:t>
            </w:r>
            <w:proofErr w:type="spellEnd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Diğer</w:t>
            </w:r>
            <w:proofErr w:type="spellEnd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Ödeneklerinin</w:t>
            </w:r>
            <w:proofErr w:type="spellEnd"/>
            <w:r w:rsidR="00687B80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Düzenlenmesi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Değişiklik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Yasası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olarak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isimlendirilir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aşağıda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“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Esas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”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olarak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anılan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Kamu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Çalışanlarının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Aylık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Maaş-Ücret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Diğer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Ödeneklerinin</w:t>
            </w:r>
            <w:proofErr w:type="spellEnd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F2638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Düzenlen</w:t>
            </w:r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mesi</w:t>
            </w:r>
            <w:proofErr w:type="spellEnd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Yasası</w:t>
            </w:r>
            <w:proofErr w:type="spellEnd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ile</w:t>
            </w:r>
            <w:proofErr w:type="spellEnd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birlikte</w:t>
            </w:r>
            <w:proofErr w:type="spellEnd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okunur</w:t>
            </w:r>
            <w:proofErr w:type="spellEnd"/>
            <w:r w:rsidR="00876061" w:rsidRPr="00EB20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8596F" w:rsidRPr="00B14F1D" w:rsidTr="00030819">
        <w:tc>
          <w:tcPr>
            <w:tcW w:w="897" w:type="pct"/>
          </w:tcPr>
          <w:p w:rsidR="00E3471C" w:rsidRPr="00B14F1D" w:rsidRDefault="00E3471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3" w:type="pct"/>
            <w:gridSpan w:val="9"/>
          </w:tcPr>
          <w:p w:rsidR="00E3471C" w:rsidRPr="00B14F1D" w:rsidRDefault="00E3471C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596F" w:rsidRPr="00B14F1D" w:rsidTr="00030819">
        <w:tc>
          <w:tcPr>
            <w:tcW w:w="897" w:type="pct"/>
          </w:tcPr>
          <w:p w:rsidR="004F2638" w:rsidRPr="00B14F1D" w:rsidRDefault="00803C2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</w:t>
            </w:r>
            <w:r w:rsidR="00CD0F7E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nın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76061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4’üncü </w:t>
            </w:r>
            <w:proofErr w:type="spellStart"/>
            <w:r w:rsidR="00876061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Maddesinin</w:t>
            </w:r>
            <w:proofErr w:type="spellEnd"/>
            <w:r w:rsidR="00876061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061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Kaldırılması</w:t>
            </w:r>
            <w:proofErr w:type="spellEnd"/>
          </w:p>
        </w:tc>
        <w:tc>
          <w:tcPr>
            <w:tcW w:w="4103" w:type="pct"/>
            <w:gridSpan w:val="9"/>
          </w:tcPr>
          <w:p w:rsidR="00556F6C" w:rsidRPr="00B14F1D" w:rsidRDefault="00803C25" w:rsidP="00EB20B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14’üncü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kaldırılmak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F6C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suretiyle</w:t>
            </w:r>
            <w:proofErr w:type="spellEnd"/>
            <w:r w:rsidR="00556F6C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F6C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değiştirilir</w:t>
            </w:r>
            <w:proofErr w:type="spellEnd"/>
            <w:r w:rsidR="00E3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6F6C" w:rsidRPr="00B14F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:rsidR="00556F6C" w:rsidRPr="00B14F1D" w:rsidRDefault="00556F6C" w:rsidP="00EB20BB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</w:pPr>
            <w:r w:rsidRPr="00B14F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 xml:space="preserve">     </w:t>
            </w:r>
          </w:p>
          <w:p w:rsidR="00803C25" w:rsidRPr="00B14F1D" w:rsidRDefault="00556F6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 xml:space="preserve">     </w:t>
            </w:r>
          </w:p>
        </w:tc>
      </w:tr>
      <w:tr w:rsidR="0028596F" w:rsidRPr="00B14F1D" w:rsidTr="00030819">
        <w:tc>
          <w:tcPr>
            <w:tcW w:w="897" w:type="pct"/>
          </w:tcPr>
          <w:p w:rsidR="00E3471C" w:rsidRPr="00B14F1D" w:rsidRDefault="00E3471C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pct"/>
            <w:gridSpan w:val="9"/>
          </w:tcPr>
          <w:p w:rsidR="00E3471C" w:rsidRPr="00B14F1D" w:rsidRDefault="00E3471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596F" w:rsidRPr="00B14F1D" w:rsidTr="00030819">
        <w:tc>
          <w:tcPr>
            <w:tcW w:w="897" w:type="pct"/>
          </w:tcPr>
          <w:p w:rsidR="00E245DC" w:rsidRPr="00B14F1D" w:rsidRDefault="00DD46E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</w:t>
            </w:r>
            <w:r w:rsidR="00CD0F7E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nın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15’inci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Maddesinin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</w:tcPr>
          <w:p w:rsidR="00E245DC" w:rsidRPr="00B14F1D" w:rsidRDefault="00E245DC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Esas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Yasa</w:t>
            </w:r>
            <w:proofErr w:type="spellEnd"/>
            <w:r w:rsidR="00CD0F7E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15’inci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maddesi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kaldırılmak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yerine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aşağıdaki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yeni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15’inci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madde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konmak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suretiyle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değiştirilir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E245DC" w:rsidRPr="00B14F1D" w:rsidRDefault="00E245D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20BB" w:rsidRPr="00B14F1D" w:rsidTr="00012375">
        <w:tc>
          <w:tcPr>
            <w:tcW w:w="897" w:type="pct"/>
          </w:tcPr>
          <w:p w:rsidR="00EB20BB" w:rsidRPr="00B14F1D" w:rsidRDefault="00EB20BB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231" w:type="pct"/>
            <w:gridSpan w:val="2"/>
          </w:tcPr>
          <w:p w:rsidR="00EB20BB" w:rsidRPr="00B14F1D" w:rsidRDefault="00EB20BB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201E64" w:rsidRDefault="00EB20BB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proofErr w:type="spellStart"/>
            <w:r w:rsidRPr="00E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Sınıflara</w:t>
            </w:r>
            <w:proofErr w:type="spellEnd"/>
            <w:r w:rsidRPr="00E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1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EB20BB" w:rsidRPr="00B14F1D" w:rsidRDefault="00201E64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B20BB" w:rsidRPr="00E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İlişkin</w:t>
            </w:r>
            <w:proofErr w:type="spellEnd"/>
            <w:r w:rsidR="00EB20BB" w:rsidRPr="00E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14" w:type="pct"/>
            <w:gridSpan w:val="5"/>
          </w:tcPr>
          <w:p w:rsidR="00EB20BB" w:rsidRPr="00B14F1D" w:rsidRDefault="00EB20BB" w:rsidP="00F03B1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Bu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Yasa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kapsamında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bulunanların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hizmet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sınıfları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ortak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kurallar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aşağıda</w:t>
            </w:r>
            <w:proofErr w:type="spellEnd"/>
            <w:r w:rsidR="00F0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0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belirtildiği</w:t>
            </w:r>
            <w:proofErr w:type="spellEnd"/>
            <w:r w:rsidR="00F0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gibidir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201E64" w:rsidRPr="00B14F1D" w:rsidTr="00030819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201E64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</w:t>
            </w:r>
            <w:proofErr w:type="spellEnd"/>
            <w:r w:rsidRPr="00E3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Kurallar</w:t>
            </w:r>
            <w:proofErr w:type="spellEnd"/>
          </w:p>
        </w:tc>
        <w:tc>
          <w:tcPr>
            <w:tcW w:w="380" w:type="pct"/>
            <w:gridSpan w:val="2"/>
          </w:tcPr>
          <w:p w:rsidR="00201E64" w:rsidRPr="00201E64" w:rsidRDefault="00201E64" w:rsidP="00F03B1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1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(1)</w:t>
            </w:r>
          </w:p>
          <w:p w:rsidR="00201E64" w:rsidRPr="00B14F1D" w:rsidRDefault="00201E64" w:rsidP="00F03B1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35" w:type="pct"/>
            <w:gridSpan w:val="3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Atandığı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hizmet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sınıfının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öngördüğü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düzeyinin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üzerinde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görenlere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kurumundan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mezun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olmak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koşulu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öğrenim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gördükleri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her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yılına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karşılık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Bu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fıkra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uyarınca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verilecek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ilerlemeleri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hiçbir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şekilde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toplam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ilerlemesinden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fazla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olamaz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01E64" w:rsidRPr="00B14F1D" w:rsidTr="00030819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gridSpan w:val="4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201E64" w:rsidRPr="00B14F1D" w:rsidRDefault="00201E64" w:rsidP="00F03B1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(2)</w:t>
            </w:r>
          </w:p>
        </w:tc>
        <w:tc>
          <w:tcPr>
            <w:tcW w:w="2735" w:type="pct"/>
            <w:gridSpan w:val="3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Bulunduğu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kadro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görevi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yüksek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öğrenim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üstü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master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almış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olanlar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bulundukları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içerisinde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doktora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yapanlara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tıpta</w:t>
            </w:r>
            <w:proofErr w:type="spellEnd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uzmanlık</w:t>
            </w:r>
            <w:proofErr w:type="spellEnd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belgesi</w:t>
            </w:r>
            <w:proofErr w:type="spellEnd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alanlar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 w:rsidRPr="00D90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bulundukları</w:t>
            </w:r>
            <w:proofErr w:type="spellEnd"/>
            <w:proofErr w:type="gram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içerisinde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üç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uygulanır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Bulunduğu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kadro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görevi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master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alıp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ilerlemesinden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yararlanan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kamu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görevlisine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bulunduğu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kadro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görevi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doktora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yapması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halinde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iki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uygulanır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01E64" w:rsidRPr="00B14F1D" w:rsidTr="00030819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gridSpan w:val="4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201E64" w:rsidRPr="00B14F1D" w:rsidRDefault="00201E64" w:rsidP="00BA0BF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(3)</w:t>
            </w:r>
          </w:p>
        </w:tc>
        <w:tc>
          <w:tcPr>
            <w:tcW w:w="2735" w:type="pct"/>
            <w:gridSpan w:val="3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Bu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madde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uyarınca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verilecek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ilerlemeleri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hiçbir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şekilde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toplam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7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ilerlemesinden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fazla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olamaz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01E64" w:rsidRPr="00B14F1D" w:rsidTr="00030819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gridSpan w:val="4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201E64" w:rsidRPr="00B14F1D" w:rsidRDefault="00201E64" w:rsidP="00BA0BF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(4)</w:t>
            </w:r>
          </w:p>
        </w:tc>
        <w:tc>
          <w:tcPr>
            <w:tcW w:w="2735" w:type="pct"/>
            <w:gridSpan w:val="3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Bu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madde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uyarınca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verilecek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kademe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ilerlemeleri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Personel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Dairesi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tarafından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bu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madde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uyarınca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yapılacak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değerlendirme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neticesinde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verilecek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uygunluk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bildirimi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doğrultusunda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uygulanır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.”</w:t>
            </w:r>
          </w:p>
        </w:tc>
      </w:tr>
      <w:tr w:rsidR="00201E64" w:rsidRPr="00B14F1D" w:rsidTr="00012375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gridSpan w:val="4"/>
          </w:tcPr>
          <w:p w:rsidR="00201E64" w:rsidRPr="00B14F1D" w:rsidRDefault="00201E64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201E64" w:rsidRPr="00B14F1D" w:rsidRDefault="00201E64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" w:type="pct"/>
            <w:gridSpan w:val="2"/>
          </w:tcPr>
          <w:p w:rsidR="00201E64" w:rsidRPr="00B14F1D" w:rsidRDefault="00201E64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71" w:type="pct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1E64" w:rsidRPr="00B14F1D" w:rsidTr="00030819">
        <w:trPr>
          <w:trHeight w:val="760"/>
        </w:trPr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Esas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Yasanın</w:t>
            </w:r>
            <w:proofErr w:type="spellEnd"/>
          </w:p>
          <w:p w:rsidR="00201E64" w:rsidRPr="00B14F1D" w:rsidRDefault="00201E64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17’nci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Maddesinin</w:t>
            </w:r>
            <w:proofErr w:type="spellEnd"/>
          </w:p>
        </w:tc>
        <w:tc>
          <w:tcPr>
            <w:tcW w:w="4103" w:type="pct"/>
            <w:gridSpan w:val="9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  <w:r w:rsidR="00F03B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Esas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Yasa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17’nci 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maddesinin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(1)’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inci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fıkrasının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(B)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bendi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kaldırılmak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yerine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aşağıdaki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yeni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(B)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bendi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konmak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suretiyle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değiştirilir</w:t>
            </w:r>
            <w:proofErr w:type="spellEnd"/>
            <w:r w:rsidRPr="00B14F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201E64" w:rsidRPr="00B14F1D" w:rsidTr="00030819">
        <w:trPr>
          <w:trHeight w:val="510"/>
        </w:trPr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1E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Değiştirilmesi</w:t>
            </w:r>
            <w:proofErr w:type="spellEnd"/>
          </w:p>
        </w:tc>
        <w:tc>
          <w:tcPr>
            <w:tcW w:w="231" w:type="pct"/>
            <w:gridSpan w:val="2"/>
          </w:tcPr>
          <w:p w:rsidR="00201E64" w:rsidRPr="00B14F1D" w:rsidRDefault="00201E64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</w:tcPr>
          <w:p w:rsidR="00201E64" w:rsidRPr="00B14F1D" w:rsidRDefault="00201E64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E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“(B)</w:t>
            </w:r>
          </w:p>
        </w:tc>
        <w:tc>
          <w:tcPr>
            <w:tcW w:w="3492" w:type="pct"/>
            <w:gridSpan w:val="6"/>
          </w:tcPr>
          <w:p w:rsidR="00201E64" w:rsidRPr="00B14F1D" w:rsidRDefault="00201E64" w:rsidP="00F03B1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Kamu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görevlileri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için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o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yıl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içerisinde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olumsuz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değerlendirilmemiş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olmak</w:t>
            </w:r>
            <w:proofErr w:type="spellEnd"/>
            <w:r w:rsidR="00F03B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diğer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kamu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çalışanları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için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ise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olumsuz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değerlendirilmemiş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olup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az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puan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almış</w:t>
            </w:r>
            <w:proofErr w:type="spellEnd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2E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olmak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1E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  <w:proofErr w:type="spellStart"/>
            <w:r w:rsidRPr="004D1E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</w:t>
            </w:r>
            <w:proofErr w:type="spellEnd"/>
            <w:r w:rsidRPr="004D1E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</w:tr>
      <w:tr w:rsidR="00201E64" w:rsidRPr="00B14F1D" w:rsidTr="00030819">
        <w:trPr>
          <w:trHeight w:val="249"/>
        </w:trPr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gridSpan w:val="2"/>
          </w:tcPr>
          <w:p w:rsidR="00201E64" w:rsidRPr="00B14F1D" w:rsidRDefault="00201E64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" w:type="pct"/>
          </w:tcPr>
          <w:p w:rsidR="00201E64" w:rsidRPr="004D1E1F" w:rsidRDefault="00201E64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2" w:type="pct"/>
            <w:gridSpan w:val="6"/>
          </w:tcPr>
          <w:p w:rsidR="00201E64" w:rsidRPr="004D1E1F" w:rsidRDefault="00201E64" w:rsidP="00EB20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1E64" w:rsidRPr="00B14F1D" w:rsidTr="00030819">
        <w:tc>
          <w:tcPr>
            <w:tcW w:w="897" w:type="pct"/>
          </w:tcPr>
          <w:p w:rsidR="00201E64" w:rsidRPr="00B14F1D" w:rsidRDefault="00201E64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EsasYasanın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18’inci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Maddesinin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pct"/>
            <w:gridSpan w:val="9"/>
          </w:tcPr>
          <w:p w:rsidR="00201E64" w:rsidRPr="00B14F1D" w:rsidRDefault="00201E64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EsasYasa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18'inci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kaldırılmak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yerine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aşağıdaki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</w:t>
            </w:r>
            <w:proofErr w:type="spellEnd"/>
            <w:r w:rsidR="00F0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18’inci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konmak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suretiyle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değiştirilir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12375" w:rsidRPr="00B14F1D" w:rsidTr="00030819">
        <w:tc>
          <w:tcPr>
            <w:tcW w:w="897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138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149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030819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proofErr w:type="spellStart"/>
            <w:r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Yükselme</w:t>
            </w:r>
            <w:proofErr w:type="spellEnd"/>
            <w:r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08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</w:p>
          <w:p w:rsidR="00030819" w:rsidRDefault="00030819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Yeri</w:t>
            </w:r>
            <w:proofErr w:type="spellEnd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Kadroları</w:t>
            </w:r>
            <w:proofErr w:type="spellEnd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12375" w:rsidRDefault="00030819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İçin</w:t>
            </w:r>
            <w:proofErr w:type="spellEnd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</w:t>
            </w:r>
            <w:proofErr w:type="spellEnd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12375" w:rsidRPr="00B14F1D" w:rsidRDefault="006F74B0" w:rsidP="0003081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08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2375" w:rsidRPr="003043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Yükselmesinin</w:t>
            </w:r>
            <w:proofErr w:type="spellEnd"/>
          </w:p>
        </w:tc>
        <w:tc>
          <w:tcPr>
            <w:tcW w:w="2961" w:type="pct"/>
            <w:gridSpan w:val="4"/>
          </w:tcPr>
          <w:p w:rsidR="00012375" w:rsidRPr="00B14F1D" w:rsidRDefault="00012375" w:rsidP="0001237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>Her kurumun kendi özel mevzuatlarında bulunan bir hizmet sınıfı içinde bir alt dereceden bir üst dereceye yükselmenin koşulları aşağıda belirtildiği gibidir:</w:t>
            </w:r>
          </w:p>
        </w:tc>
      </w:tr>
      <w:tr w:rsidR="00012375" w:rsidRPr="00B14F1D" w:rsidTr="00030819">
        <w:trPr>
          <w:trHeight w:val="350"/>
        </w:trPr>
        <w:tc>
          <w:tcPr>
            <w:tcW w:w="897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9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012375" w:rsidRPr="00B14F1D" w:rsidRDefault="00030819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F74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Koşulları</w:t>
            </w:r>
            <w:proofErr w:type="spellEnd"/>
            <w:r w:rsidR="00012375" w:rsidRPr="00285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304" w:type="pct"/>
            <w:gridSpan w:val="2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2657" w:type="pct"/>
            <w:gridSpan w:val="2"/>
          </w:tcPr>
          <w:p w:rsidR="00012375" w:rsidRPr="00B14F1D" w:rsidRDefault="00012375" w:rsidP="0001237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 xml:space="preserve">Kamu çalışanının ilk derece yükselmesinde (terfisinde) halen hizmet gördüğü kadro görevinde ve bulunduğu derecede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 xml:space="preserve">en az </w:t>
            </w:r>
            <w:r w:rsidRPr="00B14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>7 yıl çalışmış olması, sonraki derece yükselmesinde ise halen hizmet gördüğü kadro görevinde ve bulunduğu derecede  en az 3 yıl çalışmış olması gerekir.</w:t>
            </w:r>
          </w:p>
        </w:tc>
      </w:tr>
      <w:tr w:rsidR="00012375" w:rsidRPr="00B14F1D" w:rsidTr="00012375">
        <w:tc>
          <w:tcPr>
            <w:tcW w:w="897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(2)</w:t>
            </w:r>
          </w:p>
        </w:tc>
        <w:tc>
          <w:tcPr>
            <w:tcW w:w="2657" w:type="pct"/>
            <w:gridSpan w:val="2"/>
          </w:tcPr>
          <w:p w:rsidR="00012375" w:rsidRPr="00B14F1D" w:rsidRDefault="00012375" w:rsidP="00EB20BB">
            <w:pPr>
              <w:shd w:val="clear" w:color="auto" w:fill="FFFFFF"/>
              <w:tabs>
                <w:tab w:val="left" w:pos="2875"/>
              </w:tabs>
              <w:ind w:hanging="42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 xml:space="preserve">H   </w:t>
            </w:r>
            <w:r w:rsidRPr="00B14F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/>
              </w:rPr>
              <w:t>Atanmış bulunduğu kadronun bir üst derecesinde açık kadronun bulunması gerekir.</w:t>
            </w:r>
          </w:p>
        </w:tc>
      </w:tr>
      <w:tr w:rsidR="00012375" w:rsidRPr="00B14F1D" w:rsidTr="00012375">
        <w:tc>
          <w:tcPr>
            <w:tcW w:w="897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(3)</w:t>
            </w:r>
          </w:p>
        </w:tc>
        <w:tc>
          <w:tcPr>
            <w:tcW w:w="2657" w:type="pct"/>
            <w:gridSpan w:val="2"/>
          </w:tcPr>
          <w:p w:rsidR="00012375" w:rsidRPr="00B14F1D" w:rsidRDefault="00012375" w:rsidP="00EB20B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Kamu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çalışanının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üst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dereceye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müracaat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edebilmesi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için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üç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yıllık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performans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değerlendirme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formunda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olumlu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değerlendirilmiş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olması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kamu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görevlileri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dışındaki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kamu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çalışanları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için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değerlendirme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ortalamasının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az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</w:t>
            </w:r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puan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olması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gerekir</w:t>
            </w:r>
            <w:proofErr w:type="spellEnd"/>
            <w:r w:rsidRPr="00D03E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012375" w:rsidRPr="00B14F1D" w:rsidTr="00012375">
        <w:tc>
          <w:tcPr>
            <w:tcW w:w="897" w:type="pct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(4)</w:t>
            </w:r>
          </w:p>
        </w:tc>
        <w:tc>
          <w:tcPr>
            <w:tcW w:w="2657" w:type="pct"/>
            <w:gridSpan w:val="2"/>
          </w:tcPr>
          <w:p w:rsidR="00012375" w:rsidRPr="00B14F1D" w:rsidRDefault="00012375" w:rsidP="00EB20BB">
            <w:pPr>
              <w:shd w:val="clear" w:color="auto" w:fill="FFFFFF"/>
              <w:tabs>
                <w:tab w:val="left" w:pos="287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B14F1D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Bu madde kuralları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,</w:t>
            </w:r>
            <w:r w:rsidRPr="00B14F1D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bu Yasanın 4’üncü maddesinin (2)’nci fıkrasının (A) bendinde belirtilen kamu çalışanlarına uygulanmaz.”</w:t>
            </w:r>
          </w:p>
          <w:p w:rsidR="00012375" w:rsidRPr="00B14F1D" w:rsidRDefault="00012375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0431C" w:rsidRDefault="0030431C" w:rsidP="00EB20BB">
      <w:pPr>
        <w:spacing w:after="0" w:line="240" w:lineRule="auto"/>
      </w:pPr>
      <w:r>
        <w:br w:type="page"/>
      </w:r>
    </w:p>
    <w:tbl>
      <w:tblPr>
        <w:tblStyle w:val="TableGrid"/>
        <w:tblW w:w="48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649"/>
      </w:tblGrid>
      <w:tr w:rsidR="0028596F" w:rsidRPr="00B14F1D" w:rsidTr="0030431C">
        <w:tc>
          <w:tcPr>
            <w:tcW w:w="897" w:type="pct"/>
          </w:tcPr>
          <w:p w:rsidR="0054044C" w:rsidRPr="00B14F1D" w:rsidRDefault="0054044C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Esas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Yasanın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19’uncu </w:t>
            </w:r>
            <w:proofErr w:type="spellStart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Maddesinin</w:t>
            </w:r>
            <w:proofErr w:type="spellEnd"/>
            <w:r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0ED1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Kaldırılması</w:t>
            </w:r>
            <w:proofErr w:type="spellEnd"/>
          </w:p>
        </w:tc>
        <w:tc>
          <w:tcPr>
            <w:tcW w:w="4103" w:type="pct"/>
          </w:tcPr>
          <w:p w:rsidR="0054044C" w:rsidRPr="00B14F1D" w:rsidRDefault="00110824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DF24EA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</w:t>
            </w:r>
            <w:proofErr w:type="spellEnd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</w:t>
            </w:r>
            <w:proofErr w:type="spellEnd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19’uncu </w:t>
            </w:r>
            <w:proofErr w:type="spellStart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maddesi</w:t>
            </w:r>
            <w:proofErr w:type="spellEnd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4EA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</w:t>
            </w:r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dırılmak</w:t>
            </w:r>
            <w:proofErr w:type="spellEnd"/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suretiyle</w:t>
            </w:r>
            <w:proofErr w:type="spellEnd"/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değiştirilir</w:t>
            </w:r>
            <w:proofErr w:type="spellEnd"/>
            <w:r w:rsidR="00554DFF" w:rsidRPr="00B1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0CB6" w:rsidRPr="00B14F1D" w:rsidTr="0030431C">
        <w:tc>
          <w:tcPr>
            <w:tcW w:w="897" w:type="pct"/>
          </w:tcPr>
          <w:p w:rsidR="00690CB6" w:rsidRPr="00B14F1D" w:rsidRDefault="00690CB6" w:rsidP="00EB2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pct"/>
          </w:tcPr>
          <w:p w:rsidR="00690CB6" w:rsidRPr="00B14F1D" w:rsidRDefault="00690CB6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596F" w:rsidRPr="00B14F1D" w:rsidTr="0030431C">
        <w:tc>
          <w:tcPr>
            <w:tcW w:w="897" w:type="pct"/>
          </w:tcPr>
          <w:p w:rsidR="00616CD8" w:rsidRPr="00B14F1D" w:rsidRDefault="00616CD8" w:rsidP="00EB20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Yürürlüğe</w:t>
            </w:r>
            <w:proofErr w:type="spellEnd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4103" w:type="pct"/>
          </w:tcPr>
          <w:p w:rsidR="00616CD8" w:rsidRPr="00B14F1D" w:rsidRDefault="008971BF" w:rsidP="0001237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Bu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Yasa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Resmi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Gazete’de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yayımlandığı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tarihten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başlayarak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yürürlüğe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girer</w:t>
            </w:r>
            <w:proofErr w:type="spellEnd"/>
            <w:r w:rsidR="00616CD8" w:rsidRPr="00B14F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4232F" w:rsidRPr="00B14F1D" w:rsidRDefault="0014232F" w:rsidP="00EB20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4232F" w:rsidRPr="00B14F1D" w:rsidSect="003816A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A2" w:rsidRDefault="003816A2" w:rsidP="003816A2">
      <w:pPr>
        <w:spacing w:after="0" w:line="240" w:lineRule="auto"/>
      </w:pPr>
      <w:r>
        <w:separator/>
      </w:r>
    </w:p>
  </w:endnote>
  <w:endnote w:type="continuationSeparator" w:id="0">
    <w:p w:rsidR="003816A2" w:rsidRDefault="003816A2" w:rsidP="003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44500"/>
      <w:docPartObj>
        <w:docPartGallery w:val="Page Numbers (Bottom of Page)"/>
        <w:docPartUnique/>
      </w:docPartObj>
    </w:sdtPr>
    <w:sdtEndPr/>
    <w:sdtContent>
      <w:p w:rsidR="003816A2" w:rsidRDefault="003816A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8D" w:rsidRPr="001F4B8D">
          <w:rPr>
            <w:noProof/>
            <w:lang w:val="tr-TR"/>
          </w:rPr>
          <w:t>3</w:t>
        </w:r>
        <w:r>
          <w:fldChar w:fldCharType="end"/>
        </w:r>
      </w:p>
    </w:sdtContent>
  </w:sdt>
  <w:p w:rsidR="003816A2" w:rsidRDefault="0038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A2" w:rsidRDefault="003816A2" w:rsidP="003816A2">
      <w:pPr>
        <w:spacing w:after="0" w:line="240" w:lineRule="auto"/>
      </w:pPr>
      <w:r>
        <w:separator/>
      </w:r>
    </w:p>
  </w:footnote>
  <w:footnote w:type="continuationSeparator" w:id="0">
    <w:p w:rsidR="003816A2" w:rsidRDefault="003816A2" w:rsidP="0038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7B"/>
    <w:multiLevelType w:val="hybridMultilevel"/>
    <w:tmpl w:val="6D4A4970"/>
    <w:lvl w:ilvl="0" w:tplc="5E2299A2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AAA"/>
    <w:multiLevelType w:val="hybridMultilevel"/>
    <w:tmpl w:val="60D062F2"/>
    <w:lvl w:ilvl="0" w:tplc="2E06F1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7045"/>
    <w:multiLevelType w:val="multilevel"/>
    <w:tmpl w:val="8D8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1A92"/>
    <w:multiLevelType w:val="multilevel"/>
    <w:tmpl w:val="F07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E1123"/>
    <w:multiLevelType w:val="multilevel"/>
    <w:tmpl w:val="2F2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17917"/>
    <w:multiLevelType w:val="multilevel"/>
    <w:tmpl w:val="922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D0A24"/>
    <w:multiLevelType w:val="hybridMultilevel"/>
    <w:tmpl w:val="212299BE"/>
    <w:lvl w:ilvl="0" w:tplc="2E5288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11D5"/>
    <w:multiLevelType w:val="multilevel"/>
    <w:tmpl w:val="7F2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A5"/>
    <w:rsid w:val="00007358"/>
    <w:rsid w:val="00012375"/>
    <w:rsid w:val="00014C7C"/>
    <w:rsid w:val="00020957"/>
    <w:rsid w:val="00030819"/>
    <w:rsid w:val="00036D0C"/>
    <w:rsid w:val="00046CCF"/>
    <w:rsid w:val="00067688"/>
    <w:rsid w:val="00081049"/>
    <w:rsid w:val="000A70C5"/>
    <w:rsid w:val="000F3759"/>
    <w:rsid w:val="000F7CE4"/>
    <w:rsid w:val="00110824"/>
    <w:rsid w:val="00121BBA"/>
    <w:rsid w:val="0014232F"/>
    <w:rsid w:val="001915FD"/>
    <w:rsid w:val="001C0BC3"/>
    <w:rsid w:val="001F4B8D"/>
    <w:rsid w:val="00201E64"/>
    <w:rsid w:val="00212A37"/>
    <w:rsid w:val="002240E9"/>
    <w:rsid w:val="002322AF"/>
    <w:rsid w:val="0028596F"/>
    <w:rsid w:val="00291081"/>
    <w:rsid w:val="002A1EC6"/>
    <w:rsid w:val="002C2303"/>
    <w:rsid w:val="002D0ED1"/>
    <w:rsid w:val="002D5EA3"/>
    <w:rsid w:val="002F0679"/>
    <w:rsid w:val="002F6FD8"/>
    <w:rsid w:val="0030431C"/>
    <w:rsid w:val="003407F3"/>
    <w:rsid w:val="0035633F"/>
    <w:rsid w:val="003816A2"/>
    <w:rsid w:val="00384830"/>
    <w:rsid w:val="003909D5"/>
    <w:rsid w:val="003922F9"/>
    <w:rsid w:val="003A32A5"/>
    <w:rsid w:val="003B3945"/>
    <w:rsid w:val="003D52F4"/>
    <w:rsid w:val="003E0C09"/>
    <w:rsid w:val="003E544E"/>
    <w:rsid w:val="003F5EF1"/>
    <w:rsid w:val="004231B6"/>
    <w:rsid w:val="004302CA"/>
    <w:rsid w:val="0044130B"/>
    <w:rsid w:val="00441EBE"/>
    <w:rsid w:val="00453BBD"/>
    <w:rsid w:val="004565E7"/>
    <w:rsid w:val="00471956"/>
    <w:rsid w:val="0048342A"/>
    <w:rsid w:val="00497871"/>
    <w:rsid w:val="004B36CE"/>
    <w:rsid w:val="004C13CF"/>
    <w:rsid w:val="004D1E1F"/>
    <w:rsid w:val="004D5DE7"/>
    <w:rsid w:val="004D722B"/>
    <w:rsid w:val="004F2638"/>
    <w:rsid w:val="004F7233"/>
    <w:rsid w:val="00521153"/>
    <w:rsid w:val="00531635"/>
    <w:rsid w:val="00536A0E"/>
    <w:rsid w:val="0054044C"/>
    <w:rsid w:val="005446DC"/>
    <w:rsid w:val="00554DFF"/>
    <w:rsid w:val="0055562F"/>
    <w:rsid w:val="00556F6C"/>
    <w:rsid w:val="00573A6E"/>
    <w:rsid w:val="00583A9F"/>
    <w:rsid w:val="005E709C"/>
    <w:rsid w:val="005E7DC0"/>
    <w:rsid w:val="00615466"/>
    <w:rsid w:val="00616CD8"/>
    <w:rsid w:val="00630797"/>
    <w:rsid w:val="00641BDC"/>
    <w:rsid w:val="00673E83"/>
    <w:rsid w:val="00687B80"/>
    <w:rsid w:val="006904C9"/>
    <w:rsid w:val="00690CB6"/>
    <w:rsid w:val="006E2B54"/>
    <w:rsid w:val="006F74B0"/>
    <w:rsid w:val="0072128A"/>
    <w:rsid w:val="00726BDA"/>
    <w:rsid w:val="00741C7A"/>
    <w:rsid w:val="00761472"/>
    <w:rsid w:val="007A66B3"/>
    <w:rsid w:val="007B1E7C"/>
    <w:rsid w:val="007B5C21"/>
    <w:rsid w:val="007C52DB"/>
    <w:rsid w:val="00801EDF"/>
    <w:rsid w:val="00803C25"/>
    <w:rsid w:val="008100D9"/>
    <w:rsid w:val="008170BC"/>
    <w:rsid w:val="0082134C"/>
    <w:rsid w:val="008223D1"/>
    <w:rsid w:val="0082565A"/>
    <w:rsid w:val="00845F14"/>
    <w:rsid w:val="008669DB"/>
    <w:rsid w:val="008735EE"/>
    <w:rsid w:val="00876061"/>
    <w:rsid w:val="00886419"/>
    <w:rsid w:val="008971BF"/>
    <w:rsid w:val="008E67F9"/>
    <w:rsid w:val="009256E2"/>
    <w:rsid w:val="00950D50"/>
    <w:rsid w:val="00954EE6"/>
    <w:rsid w:val="00955F71"/>
    <w:rsid w:val="0097379A"/>
    <w:rsid w:val="00980EA6"/>
    <w:rsid w:val="0099159F"/>
    <w:rsid w:val="009922BD"/>
    <w:rsid w:val="009A2A4D"/>
    <w:rsid w:val="009A5709"/>
    <w:rsid w:val="009E210D"/>
    <w:rsid w:val="009E5794"/>
    <w:rsid w:val="00A13880"/>
    <w:rsid w:val="00A14541"/>
    <w:rsid w:val="00A26F0B"/>
    <w:rsid w:val="00A3243D"/>
    <w:rsid w:val="00A45EAC"/>
    <w:rsid w:val="00AB7C19"/>
    <w:rsid w:val="00AD2F18"/>
    <w:rsid w:val="00AE26BE"/>
    <w:rsid w:val="00AE282C"/>
    <w:rsid w:val="00AE3C0E"/>
    <w:rsid w:val="00B14F1D"/>
    <w:rsid w:val="00B25749"/>
    <w:rsid w:val="00B25D80"/>
    <w:rsid w:val="00B46872"/>
    <w:rsid w:val="00B62075"/>
    <w:rsid w:val="00B705AA"/>
    <w:rsid w:val="00B733E4"/>
    <w:rsid w:val="00BA090E"/>
    <w:rsid w:val="00BA0BF6"/>
    <w:rsid w:val="00BC4174"/>
    <w:rsid w:val="00BC444B"/>
    <w:rsid w:val="00BE3F98"/>
    <w:rsid w:val="00BF3E18"/>
    <w:rsid w:val="00BF4351"/>
    <w:rsid w:val="00C12A56"/>
    <w:rsid w:val="00C36E3B"/>
    <w:rsid w:val="00C36EBA"/>
    <w:rsid w:val="00C5125E"/>
    <w:rsid w:val="00C75248"/>
    <w:rsid w:val="00C87B60"/>
    <w:rsid w:val="00C943BE"/>
    <w:rsid w:val="00CA55A6"/>
    <w:rsid w:val="00CD0F7E"/>
    <w:rsid w:val="00D03E47"/>
    <w:rsid w:val="00D06ED1"/>
    <w:rsid w:val="00D13824"/>
    <w:rsid w:val="00D24943"/>
    <w:rsid w:val="00D36F94"/>
    <w:rsid w:val="00D41F69"/>
    <w:rsid w:val="00D4467B"/>
    <w:rsid w:val="00D90C13"/>
    <w:rsid w:val="00D92B9B"/>
    <w:rsid w:val="00D93610"/>
    <w:rsid w:val="00D9406B"/>
    <w:rsid w:val="00DA5913"/>
    <w:rsid w:val="00DA7DBD"/>
    <w:rsid w:val="00DD023E"/>
    <w:rsid w:val="00DD46E4"/>
    <w:rsid w:val="00DF24EA"/>
    <w:rsid w:val="00E245DC"/>
    <w:rsid w:val="00E3051C"/>
    <w:rsid w:val="00E3471C"/>
    <w:rsid w:val="00E43D5D"/>
    <w:rsid w:val="00E71CB3"/>
    <w:rsid w:val="00E720A2"/>
    <w:rsid w:val="00E947C3"/>
    <w:rsid w:val="00EA05DD"/>
    <w:rsid w:val="00EB20BB"/>
    <w:rsid w:val="00EC2CD9"/>
    <w:rsid w:val="00ED19B3"/>
    <w:rsid w:val="00ED3178"/>
    <w:rsid w:val="00F00166"/>
    <w:rsid w:val="00F03B12"/>
    <w:rsid w:val="00F23E17"/>
    <w:rsid w:val="00F2678C"/>
    <w:rsid w:val="00F31C0F"/>
    <w:rsid w:val="00F32EB3"/>
    <w:rsid w:val="00F3651F"/>
    <w:rsid w:val="00F43976"/>
    <w:rsid w:val="00F462AF"/>
    <w:rsid w:val="00F74550"/>
    <w:rsid w:val="00F8003A"/>
    <w:rsid w:val="00F81C60"/>
    <w:rsid w:val="00F83735"/>
    <w:rsid w:val="00FA539A"/>
    <w:rsid w:val="00FB6F1A"/>
    <w:rsid w:val="00FC0E4E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106">
          <w:marLeft w:val="300"/>
          <w:marRight w:val="300"/>
          <w:marTop w:val="0"/>
          <w:marBottom w:val="150"/>
          <w:divBdr>
            <w:top w:val="single" w:sz="6" w:space="4" w:color="C0C0C3"/>
            <w:left w:val="single" w:sz="6" w:space="4" w:color="C0C0C3"/>
            <w:bottom w:val="single" w:sz="6" w:space="4" w:color="C0C0C3"/>
            <w:right w:val="single" w:sz="6" w:space="4" w:color="C0C0C3"/>
          </w:divBdr>
          <w:divsChild>
            <w:div w:id="260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07E6-9146-470F-81B7-89EA2DAB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gurkan artun</cp:lastModifiedBy>
  <cp:revision>2</cp:revision>
  <cp:lastPrinted>2020-02-27T23:32:00Z</cp:lastPrinted>
  <dcterms:created xsi:type="dcterms:W3CDTF">2020-04-28T15:34:00Z</dcterms:created>
  <dcterms:modified xsi:type="dcterms:W3CDTF">2020-04-28T15:34:00Z</dcterms:modified>
</cp:coreProperties>
</file>