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2D" w:rsidRDefault="007E4A2D">
      <w:pPr>
        <w:spacing w:after="200" w:line="276" w:lineRule="auto"/>
      </w:pPr>
    </w:p>
    <w:tbl>
      <w:tblPr>
        <w:tblStyle w:val="TableGrid"/>
        <w:tblW w:w="9104" w:type="dxa"/>
        <w:tblInd w:w="360" w:type="dxa"/>
        <w:tblLook w:val="04A0" w:firstRow="1" w:lastRow="0" w:firstColumn="1" w:lastColumn="0" w:noHBand="0" w:noVBand="1"/>
      </w:tblPr>
      <w:tblGrid>
        <w:gridCol w:w="1576"/>
        <w:gridCol w:w="496"/>
        <w:gridCol w:w="559"/>
        <w:gridCol w:w="378"/>
        <w:gridCol w:w="309"/>
        <w:gridCol w:w="399"/>
        <w:gridCol w:w="257"/>
        <w:gridCol w:w="643"/>
        <w:gridCol w:w="4487"/>
      </w:tblGrid>
      <w:tr w:rsidR="007E4A2D" w:rsidRPr="007E4A2D" w:rsidTr="00DA4C51"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FF1AB3" w:rsidP="00FF1AB3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 w:rsidRPr="00FF1AB3">
              <w:rPr>
                <w:rFonts w:eastAsia="Calibri"/>
                <w:sz w:val="24"/>
                <w:szCs w:val="24"/>
              </w:rPr>
              <w:t>Kuzey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Kıbrıs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Türk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Cumhuriyeti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Cumhuriyet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Meclisi'nin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17 Nisan 2023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tarihli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Kırkbeşinci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Birleşiminde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Oyçokluğuyla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kabul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olunan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Kamu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İhale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Değişiklik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)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Yasası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"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Anayasanın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94'üncü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maddesinin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(l)'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inci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fıkrası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gereğince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Kuzey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Kıbrıs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Türk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Cumhuriyeti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Cumhurbaşkanı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tarafından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Resmi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Gazete'de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yayımlanmak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suretiyle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ilan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F1AB3">
              <w:rPr>
                <w:rFonts w:eastAsia="Calibri"/>
                <w:sz w:val="24"/>
                <w:szCs w:val="24"/>
              </w:rPr>
              <w:t>olunur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F1AB3" w:rsidRPr="007E4A2D" w:rsidTr="00DA4C51"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AB3" w:rsidRPr="00FF1AB3" w:rsidRDefault="00FF1AB3" w:rsidP="00FF1AB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F1AB3" w:rsidRPr="007E4A2D" w:rsidTr="00DA4C51"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AB3" w:rsidRPr="007E4A2D" w:rsidRDefault="00FF1AB3" w:rsidP="007E4A2D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proofErr w:type="spellStart"/>
            <w:r w:rsidRPr="00FF1AB3">
              <w:rPr>
                <w:rFonts w:eastAsia="Calibri"/>
                <w:sz w:val="24"/>
                <w:szCs w:val="24"/>
              </w:rPr>
              <w:t>Sayı</w:t>
            </w:r>
            <w:proofErr w:type="spellEnd"/>
            <w:r w:rsidRPr="00FF1AB3">
              <w:rPr>
                <w:rFonts w:eastAsia="Calibri"/>
                <w:sz w:val="24"/>
                <w:szCs w:val="24"/>
              </w:rPr>
              <w:t xml:space="preserve"> : 16/2023</w:t>
            </w:r>
            <w:bookmarkStart w:id="0" w:name="_GoBack"/>
            <w:bookmarkEnd w:id="0"/>
          </w:p>
        </w:tc>
      </w:tr>
      <w:tr w:rsidR="00FF1AB3" w:rsidRPr="007E4A2D" w:rsidTr="00DA4C51"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AB3" w:rsidRPr="007E4A2D" w:rsidRDefault="00FF1AB3" w:rsidP="00FF1AB3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FF1AB3" w:rsidRPr="007E4A2D" w:rsidTr="00DA4C51"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1AB3" w:rsidRPr="007E4A2D" w:rsidRDefault="00FF1AB3" w:rsidP="00FF1AB3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KAMU İHALE (DEĞİŞİLİK) YASASI</w:t>
            </w:r>
          </w:p>
          <w:p w:rsidR="00FF1AB3" w:rsidRPr="007E4A2D" w:rsidRDefault="00FF1AB3" w:rsidP="007E4A2D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 xml:space="preserve">                                        </w:t>
            </w:r>
          </w:p>
        </w:tc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 xml:space="preserve">          Kuzey Kıbrıs Türk Cumhuriyeti Cumhuriyet Meclisi aşağıdaki Yasayı yapar:</w:t>
            </w:r>
          </w:p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 xml:space="preserve">Kısa İsim </w:t>
            </w:r>
          </w:p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20/2016</w:t>
            </w:r>
          </w:p>
        </w:tc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1. Bu Yasa, Kamu İhale (Değişiklik) Yasası olarak isimlendirilir ve aşağıda “Esas Yasa” olarak anılan Kamu İhale Yasası ile birlikte okunur.</w:t>
            </w:r>
          </w:p>
          <w:p w:rsidR="007E4A2D" w:rsidRPr="007E4A2D" w:rsidRDefault="007E4A2D" w:rsidP="007E4A2D">
            <w:pPr>
              <w:ind w:left="360"/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Esas Yasanın 24’üncü Maddesinin</w:t>
            </w:r>
          </w:p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Değiştirilmesi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2.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(1)</w:t>
            </w:r>
          </w:p>
        </w:tc>
        <w:tc>
          <w:tcPr>
            <w:tcW w:w="64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Esas Yasa, 24’üncü maddesinin (1)’inci fıkrasının (A) bendi  kaldırılmak ve yerine aşağıdaki yeni (A) bendi konmak suretiyle değiştirilir:</w:t>
            </w:r>
          </w:p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“(A)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 xml:space="preserve">Bu Yasa kapsamındaki idarelerin, tahmini değeri KDV hariç aylık brüt asgari ücretin 20 (yirmi) katını aşmayan mal ve/veya hizmet alımları ile tahmini değeri KDV hariç aylık brüt asgari ücretin 30 (otuz) katını aşmayan ve  konu ile ilgili teknik daireler ve/veya birimler tarafından onaylanan yapım işleri.   </w:t>
            </w:r>
          </w:p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 xml:space="preserve">       Ancak bu Yasanın 4’üncü maddesinin (1)’inci fıkrasının (C) bendi kapsamındaki ihale makamları tahmini değeri KDV hariç aylık brüt asgari ücretin 30 (otuz) katını aşmayan mal ve/veya hizmet alımları ile teknik daireler  ve/veya birimler tarafından onaylanmış yapım işleri yapabilir.”</w:t>
            </w:r>
          </w:p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(2)</w:t>
            </w:r>
          </w:p>
        </w:tc>
        <w:tc>
          <w:tcPr>
            <w:tcW w:w="64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Esas Yasa, 24’üncü maddesinin (1)’inci fıkrasının (C) bendi kaldırılmak ve yerine aşağıdaki yeni (C) bendi konmak suretiyle değiştirilir:</w:t>
            </w: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“(C)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Mevcut mal, ekipman, teknoloji veya hizmetlerle uyumun ve standardizasyonun sağlanması için zorunlu olan mal ve hizmetlerin, asıl sözleşmeye dayalı olarak düzenlenecek ve toplam süreleri 3 (üç) yılı geçmeyecek sözleşmelerle ilk alım yapılan gerçek veya tüzel kişiden yapılan alımlar.</w:t>
            </w:r>
          </w:p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 xml:space="preserve">         Ancak ihale makamı Kuzey Kıbrıs Türk Cumhuriyeti sınırları dahilinde </w:t>
            </w:r>
            <w:r w:rsidRPr="007E4A2D">
              <w:rPr>
                <w:rFonts w:eastAsia="Calibri"/>
                <w:sz w:val="24"/>
                <w:szCs w:val="24"/>
                <w:lang w:val="tr-TR"/>
              </w:rPr>
              <w:lastRenderedPageBreak/>
              <w:t>önceden en az 50,000,000.- $ (Elli Milyon Dolar) yatırım yapılmış olan ve/veya güncel bedeli en az 50,000,000.- $ (Elli Milyon Dolar) yatırım gerektiren su ve elektrik temini ile ilgili büyük projeler için  toplam süresi 15 (on beş) yılı geçmeyecek sözleşmeler ile gerçek veya tüzel kişilerden alım yapabilir.”</w:t>
            </w: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  <w:tr w:rsidR="007E4A2D" w:rsidRPr="007E4A2D" w:rsidTr="00DA4C51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Yürürlüğe Giriş</w:t>
            </w:r>
          </w:p>
        </w:tc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A2D" w:rsidRPr="007E4A2D" w:rsidRDefault="007E4A2D" w:rsidP="007E4A2D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  <w:r w:rsidRPr="007E4A2D">
              <w:rPr>
                <w:rFonts w:eastAsia="Calibri"/>
                <w:sz w:val="24"/>
                <w:szCs w:val="24"/>
                <w:lang w:val="tr-TR"/>
              </w:rPr>
              <w:t>3. Bu Yasa, Resmi Gazete’de yayımlandığı tarihten başlayarak yürürlüğe girer.</w:t>
            </w:r>
          </w:p>
          <w:p w:rsidR="007E4A2D" w:rsidRPr="007E4A2D" w:rsidRDefault="007E4A2D" w:rsidP="007E4A2D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</w:tr>
    </w:tbl>
    <w:p w:rsidR="007E4A2D" w:rsidRPr="007E4A2D" w:rsidRDefault="007E4A2D" w:rsidP="007E4A2D">
      <w:pPr>
        <w:spacing w:after="160" w:line="259" w:lineRule="auto"/>
        <w:rPr>
          <w:rFonts w:ascii="Calibri" w:eastAsia="Calibri" w:hAnsi="Calibri"/>
          <w:sz w:val="24"/>
          <w:szCs w:val="24"/>
          <w:lang w:val="tr-TR"/>
        </w:rPr>
      </w:pPr>
    </w:p>
    <w:p w:rsidR="0016570C" w:rsidRDefault="0016570C" w:rsidP="00730A65"/>
    <w:sectPr w:rsidR="0016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3"/>
    <w:rsid w:val="000D2239"/>
    <w:rsid w:val="000E1FEC"/>
    <w:rsid w:val="001560AE"/>
    <w:rsid w:val="0016570C"/>
    <w:rsid w:val="001C79C0"/>
    <w:rsid w:val="002647D6"/>
    <w:rsid w:val="002668D8"/>
    <w:rsid w:val="00272FD0"/>
    <w:rsid w:val="002A2841"/>
    <w:rsid w:val="003704D1"/>
    <w:rsid w:val="003D12BE"/>
    <w:rsid w:val="00402A88"/>
    <w:rsid w:val="004058FA"/>
    <w:rsid w:val="004064EA"/>
    <w:rsid w:val="00423030"/>
    <w:rsid w:val="004348AF"/>
    <w:rsid w:val="00486A8E"/>
    <w:rsid w:val="005B630B"/>
    <w:rsid w:val="006A42AA"/>
    <w:rsid w:val="006B018F"/>
    <w:rsid w:val="006B1F7C"/>
    <w:rsid w:val="00730A65"/>
    <w:rsid w:val="00785459"/>
    <w:rsid w:val="007A453A"/>
    <w:rsid w:val="007E4A2D"/>
    <w:rsid w:val="0081233A"/>
    <w:rsid w:val="00843BB2"/>
    <w:rsid w:val="00845BD3"/>
    <w:rsid w:val="008668E7"/>
    <w:rsid w:val="009F3A6A"/>
    <w:rsid w:val="00A31B47"/>
    <w:rsid w:val="00AA1B94"/>
    <w:rsid w:val="00AE2607"/>
    <w:rsid w:val="00AF0369"/>
    <w:rsid w:val="00B40D5C"/>
    <w:rsid w:val="00B620ED"/>
    <w:rsid w:val="00C67D6A"/>
    <w:rsid w:val="00CD360D"/>
    <w:rsid w:val="00D64470"/>
    <w:rsid w:val="00D66334"/>
    <w:rsid w:val="00D76223"/>
    <w:rsid w:val="00EA4B16"/>
    <w:rsid w:val="00EB65B6"/>
    <w:rsid w:val="00ED5A50"/>
    <w:rsid w:val="00F25A2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2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2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Sinem01 Demirgil</dc:creator>
  <cp:lastModifiedBy>gurkan artun</cp:lastModifiedBy>
  <cp:revision>3</cp:revision>
  <cp:lastPrinted>2023-03-31T10:34:00Z</cp:lastPrinted>
  <dcterms:created xsi:type="dcterms:W3CDTF">2023-04-25T15:55:00Z</dcterms:created>
  <dcterms:modified xsi:type="dcterms:W3CDTF">2023-04-25T15:56:00Z</dcterms:modified>
</cp:coreProperties>
</file>