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02" w:rsidRDefault="00D63302" w:rsidP="00D6330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11087">
        <w:rPr>
          <w:rFonts w:ascii="Times New Roman" w:hAnsi="Times New Roman" w:cs="Times New Roman"/>
          <w:sz w:val="24"/>
          <w:szCs w:val="24"/>
        </w:rPr>
        <w:t>Kuzey</w:t>
      </w:r>
      <w:proofErr w:type="spellEnd"/>
      <w:r w:rsidRPr="00111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087">
        <w:rPr>
          <w:rFonts w:ascii="Times New Roman" w:hAnsi="Times New Roman" w:cs="Times New Roman"/>
          <w:sz w:val="24"/>
          <w:szCs w:val="24"/>
        </w:rPr>
        <w:t>Kıbrıs</w:t>
      </w:r>
      <w:proofErr w:type="spellEnd"/>
      <w:r w:rsidRPr="00111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087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Pr="00111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087">
        <w:rPr>
          <w:rFonts w:ascii="Times New Roman" w:hAnsi="Times New Roman" w:cs="Times New Roman"/>
          <w:sz w:val="24"/>
          <w:szCs w:val="24"/>
        </w:rPr>
        <w:t>Cumhuriyeti</w:t>
      </w:r>
      <w:proofErr w:type="spellEnd"/>
      <w:r w:rsidRPr="00111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087">
        <w:rPr>
          <w:rFonts w:ascii="Times New Roman" w:hAnsi="Times New Roman" w:cs="Times New Roman"/>
          <w:sz w:val="24"/>
          <w:szCs w:val="24"/>
        </w:rPr>
        <w:t>Cumhuriyet</w:t>
      </w:r>
      <w:proofErr w:type="spellEnd"/>
      <w:r w:rsidRPr="00111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087">
        <w:rPr>
          <w:rFonts w:ascii="Times New Roman" w:hAnsi="Times New Roman" w:cs="Times New Roman"/>
          <w:sz w:val="24"/>
          <w:szCs w:val="24"/>
        </w:rPr>
        <w:t>Meclisi’nin</w:t>
      </w:r>
      <w:proofErr w:type="spellEnd"/>
      <w:r w:rsidRPr="00111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Mart</w:t>
      </w:r>
      <w:r w:rsidRPr="00111087">
        <w:rPr>
          <w:rFonts w:ascii="Times New Roman" w:hAnsi="Times New Roman" w:cs="Times New Roman"/>
          <w:sz w:val="24"/>
          <w:szCs w:val="24"/>
        </w:rPr>
        <w:t xml:space="preserve"> 2024 </w:t>
      </w:r>
      <w:proofErr w:type="spellStart"/>
      <w:r w:rsidRPr="00111087">
        <w:rPr>
          <w:rFonts w:ascii="Times New Roman" w:hAnsi="Times New Roman" w:cs="Times New Roman"/>
          <w:sz w:val="24"/>
          <w:szCs w:val="24"/>
        </w:rPr>
        <w:t>tarihli</w:t>
      </w:r>
      <w:proofErr w:type="spellEnd"/>
      <w:r w:rsidRPr="00111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087">
        <w:rPr>
          <w:rFonts w:ascii="Times New Roman" w:hAnsi="Times New Roman" w:cs="Times New Roman"/>
          <w:sz w:val="24"/>
          <w:szCs w:val="24"/>
        </w:rPr>
        <w:t>Otuz</w:t>
      </w:r>
      <w:r>
        <w:rPr>
          <w:rFonts w:ascii="Times New Roman" w:hAnsi="Times New Roman" w:cs="Times New Roman"/>
          <w:sz w:val="24"/>
          <w:szCs w:val="24"/>
        </w:rPr>
        <w:t>dokuzuncu</w:t>
      </w:r>
      <w:proofErr w:type="spellEnd"/>
      <w:r w:rsidRPr="00111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087">
        <w:rPr>
          <w:rFonts w:ascii="Times New Roman" w:hAnsi="Times New Roman" w:cs="Times New Roman"/>
          <w:sz w:val="24"/>
          <w:szCs w:val="24"/>
        </w:rPr>
        <w:t>Birleşiminde</w:t>
      </w:r>
      <w:proofErr w:type="spellEnd"/>
      <w:r w:rsidRPr="00111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087">
        <w:rPr>
          <w:rFonts w:ascii="Times New Roman" w:hAnsi="Times New Roman" w:cs="Times New Roman"/>
          <w:sz w:val="24"/>
          <w:szCs w:val="24"/>
        </w:rPr>
        <w:t>Oybirliğiyle</w:t>
      </w:r>
      <w:proofErr w:type="spellEnd"/>
      <w:r w:rsidRPr="00111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087">
        <w:rPr>
          <w:rFonts w:ascii="Times New Roman" w:hAnsi="Times New Roman" w:cs="Times New Roman"/>
          <w:sz w:val="24"/>
          <w:szCs w:val="24"/>
        </w:rPr>
        <w:t>kabul</w:t>
      </w:r>
      <w:proofErr w:type="spellEnd"/>
      <w:r w:rsidRPr="00111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087">
        <w:rPr>
          <w:rFonts w:ascii="Times New Roman" w:hAnsi="Times New Roman" w:cs="Times New Roman"/>
          <w:sz w:val="24"/>
          <w:szCs w:val="24"/>
        </w:rPr>
        <w:t>olunan</w:t>
      </w:r>
      <w:proofErr w:type="spellEnd"/>
      <w:r w:rsidRPr="0011108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Belediyelerin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Birleştirilmesine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İlişkin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Özel</w:t>
      </w:r>
      <w:proofErr w:type="spellEnd"/>
      <w:r>
        <w:rPr>
          <w:rFonts w:ascii="Times New Roman" w:hAnsi="Times New Roman" w:cs="Times New Roman"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sz w:val="24"/>
          <w:szCs w:val="24"/>
        </w:rPr>
        <w:t>Değişiklik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Yasası</w:t>
      </w:r>
      <w:proofErr w:type="spellEnd"/>
      <w:r w:rsidRPr="0011108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11087">
        <w:rPr>
          <w:rFonts w:ascii="Times New Roman" w:hAnsi="Times New Roman" w:cs="Times New Roman"/>
          <w:sz w:val="24"/>
          <w:szCs w:val="24"/>
        </w:rPr>
        <w:t>Anayasanın</w:t>
      </w:r>
      <w:proofErr w:type="spellEnd"/>
      <w:r w:rsidRPr="00111087">
        <w:rPr>
          <w:rFonts w:ascii="Times New Roman" w:hAnsi="Times New Roman" w:cs="Times New Roman"/>
          <w:sz w:val="24"/>
          <w:szCs w:val="24"/>
        </w:rPr>
        <w:t xml:space="preserve"> 94’üncü </w:t>
      </w:r>
      <w:proofErr w:type="spellStart"/>
      <w:r w:rsidRPr="00111087">
        <w:rPr>
          <w:rFonts w:ascii="Times New Roman" w:hAnsi="Times New Roman" w:cs="Times New Roman"/>
          <w:sz w:val="24"/>
          <w:szCs w:val="24"/>
        </w:rPr>
        <w:t>maddesinin</w:t>
      </w:r>
      <w:proofErr w:type="spellEnd"/>
      <w:r w:rsidRPr="00111087">
        <w:rPr>
          <w:rFonts w:ascii="Times New Roman" w:hAnsi="Times New Roman" w:cs="Times New Roman"/>
          <w:sz w:val="24"/>
          <w:szCs w:val="24"/>
        </w:rPr>
        <w:t xml:space="preserve"> (1)’</w:t>
      </w:r>
      <w:proofErr w:type="spellStart"/>
      <w:r w:rsidRPr="00111087">
        <w:rPr>
          <w:rFonts w:ascii="Times New Roman" w:hAnsi="Times New Roman" w:cs="Times New Roman"/>
          <w:sz w:val="24"/>
          <w:szCs w:val="24"/>
        </w:rPr>
        <w:t>inci</w:t>
      </w:r>
      <w:proofErr w:type="spellEnd"/>
      <w:r w:rsidRPr="00111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087">
        <w:rPr>
          <w:rFonts w:ascii="Times New Roman" w:hAnsi="Times New Roman" w:cs="Times New Roman"/>
          <w:sz w:val="24"/>
          <w:szCs w:val="24"/>
        </w:rPr>
        <w:t>fıkrası</w:t>
      </w:r>
      <w:proofErr w:type="spellEnd"/>
      <w:r w:rsidRPr="00111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087">
        <w:rPr>
          <w:rFonts w:ascii="Times New Roman" w:hAnsi="Times New Roman" w:cs="Times New Roman"/>
          <w:sz w:val="24"/>
          <w:szCs w:val="24"/>
        </w:rPr>
        <w:t>gereğince</w:t>
      </w:r>
      <w:proofErr w:type="spellEnd"/>
      <w:r w:rsidRPr="00111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087">
        <w:rPr>
          <w:rFonts w:ascii="Times New Roman" w:hAnsi="Times New Roman" w:cs="Times New Roman"/>
          <w:sz w:val="24"/>
          <w:szCs w:val="24"/>
        </w:rPr>
        <w:t>Kuzey</w:t>
      </w:r>
      <w:proofErr w:type="spellEnd"/>
      <w:r w:rsidRPr="00111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087">
        <w:rPr>
          <w:rFonts w:ascii="Times New Roman" w:hAnsi="Times New Roman" w:cs="Times New Roman"/>
          <w:sz w:val="24"/>
          <w:szCs w:val="24"/>
        </w:rPr>
        <w:t>Kıbrıs</w:t>
      </w:r>
      <w:proofErr w:type="spellEnd"/>
      <w:r w:rsidRPr="00111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087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Pr="00111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087">
        <w:rPr>
          <w:rFonts w:ascii="Times New Roman" w:hAnsi="Times New Roman" w:cs="Times New Roman"/>
          <w:sz w:val="24"/>
          <w:szCs w:val="24"/>
        </w:rPr>
        <w:t>Cumhuriyeti</w:t>
      </w:r>
      <w:proofErr w:type="spellEnd"/>
      <w:r w:rsidRPr="0011108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11087">
        <w:rPr>
          <w:rFonts w:ascii="Times New Roman" w:hAnsi="Times New Roman" w:cs="Times New Roman"/>
          <w:sz w:val="24"/>
          <w:szCs w:val="24"/>
        </w:rPr>
        <w:t>Cumhurbaşkanı</w:t>
      </w:r>
      <w:proofErr w:type="spellEnd"/>
      <w:r w:rsidRPr="00111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087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111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087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Pr="00111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087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Pr="00111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087">
        <w:rPr>
          <w:rFonts w:ascii="Times New Roman" w:hAnsi="Times New Roman" w:cs="Times New Roman"/>
          <w:sz w:val="24"/>
          <w:szCs w:val="24"/>
        </w:rPr>
        <w:t>yayımlanmak</w:t>
      </w:r>
      <w:proofErr w:type="spellEnd"/>
      <w:r w:rsidRPr="00111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087">
        <w:rPr>
          <w:rFonts w:ascii="Times New Roman" w:hAnsi="Times New Roman" w:cs="Times New Roman"/>
          <w:sz w:val="24"/>
          <w:szCs w:val="24"/>
        </w:rPr>
        <w:t>suretiyle</w:t>
      </w:r>
      <w:proofErr w:type="spellEnd"/>
      <w:r w:rsidRPr="00111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087">
        <w:rPr>
          <w:rFonts w:ascii="Times New Roman" w:hAnsi="Times New Roman" w:cs="Times New Roman"/>
          <w:sz w:val="24"/>
          <w:szCs w:val="24"/>
        </w:rPr>
        <w:t>ilan</w:t>
      </w:r>
      <w:proofErr w:type="spellEnd"/>
      <w:r w:rsidRPr="00111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087">
        <w:rPr>
          <w:rFonts w:ascii="Times New Roman" w:hAnsi="Times New Roman" w:cs="Times New Roman"/>
          <w:sz w:val="24"/>
          <w:szCs w:val="24"/>
        </w:rPr>
        <w:t>olunur</w:t>
      </w:r>
      <w:proofErr w:type="spellEnd"/>
      <w:r w:rsidRPr="00111087">
        <w:rPr>
          <w:rFonts w:ascii="Times New Roman" w:hAnsi="Times New Roman" w:cs="Times New Roman"/>
          <w:sz w:val="24"/>
          <w:szCs w:val="24"/>
        </w:rPr>
        <w:t>.</w:t>
      </w:r>
    </w:p>
    <w:p w:rsidR="006A25A3" w:rsidRDefault="00D63302" w:rsidP="00D6330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Sayı</w:t>
      </w:r>
      <w:proofErr w:type="spellEnd"/>
      <w:r>
        <w:rPr>
          <w:rFonts w:ascii="Times New Roman" w:hAnsi="Times New Roman" w:cs="Times New Roman"/>
          <w:sz w:val="24"/>
          <w:szCs w:val="24"/>
        </w:rPr>
        <w:t>: 12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/2024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6"/>
        <w:gridCol w:w="300"/>
        <w:gridCol w:w="1260"/>
        <w:gridCol w:w="630"/>
        <w:gridCol w:w="5464"/>
      </w:tblGrid>
      <w:tr w:rsidR="00557030" w:rsidTr="0024155C">
        <w:tc>
          <w:tcPr>
            <w:tcW w:w="9230" w:type="dxa"/>
            <w:gridSpan w:val="5"/>
          </w:tcPr>
          <w:p w:rsidR="00D17E28" w:rsidRDefault="00557030" w:rsidP="0055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BELEDİYELERİN BİRLEŞTİR</w:t>
            </w:r>
            <w:r w:rsidR="00A64EA0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LMESİNE İLİŞKİN (ÖZEL) </w:t>
            </w:r>
          </w:p>
          <w:p w:rsidR="00557030" w:rsidRDefault="003A71A8" w:rsidP="00F0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57030">
              <w:rPr>
                <w:rFonts w:ascii="Times New Roman" w:hAnsi="Times New Roman" w:cs="Times New Roman"/>
                <w:sz w:val="24"/>
                <w:szCs w:val="24"/>
              </w:rPr>
              <w:t>DEĞİŞİKLİK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57030">
              <w:rPr>
                <w:rFonts w:ascii="Times New Roman" w:hAnsi="Times New Roman" w:cs="Times New Roman"/>
                <w:sz w:val="24"/>
                <w:szCs w:val="24"/>
              </w:rPr>
              <w:t xml:space="preserve"> YASA</w:t>
            </w:r>
            <w:r w:rsidR="00F064EB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</w:tr>
      <w:tr w:rsidR="00557030" w:rsidTr="0024155C">
        <w:tc>
          <w:tcPr>
            <w:tcW w:w="9230" w:type="dxa"/>
            <w:gridSpan w:val="5"/>
          </w:tcPr>
          <w:p w:rsidR="00557030" w:rsidRDefault="00557030" w:rsidP="0055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30" w:rsidTr="0024155C">
        <w:tc>
          <w:tcPr>
            <w:tcW w:w="1576" w:type="dxa"/>
          </w:tcPr>
          <w:p w:rsidR="00557030" w:rsidRDefault="00557030" w:rsidP="0055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4"/>
          </w:tcPr>
          <w:p w:rsidR="00557030" w:rsidRDefault="00557030" w:rsidP="00557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Kuzey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Kıbrıs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Türk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Cumhuriyeti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Cumhuriyet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Meclis</w:t>
            </w:r>
            <w:r w:rsidR="003A71A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3A7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71A8">
              <w:rPr>
                <w:rFonts w:ascii="Times New Roman" w:hAnsi="Times New Roman" w:cs="Times New Roman"/>
                <w:sz w:val="24"/>
                <w:szCs w:val="24"/>
              </w:rPr>
              <w:t>aşağıdaki</w:t>
            </w:r>
            <w:proofErr w:type="spellEnd"/>
            <w:r w:rsidR="003A7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71A8">
              <w:rPr>
                <w:rFonts w:ascii="Times New Roman" w:hAnsi="Times New Roman" w:cs="Times New Roman"/>
                <w:sz w:val="24"/>
                <w:szCs w:val="24"/>
              </w:rPr>
              <w:t>Yasayı</w:t>
            </w:r>
            <w:proofErr w:type="spellEnd"/>
            <w:r w:rsidR="003A7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71A8">
              <w:rPr>
                <w:rFonts w:ascii="Times New Roman" w:hAnsi="Times New Roman" w:cs="Times New Roman"/>
                <w:sz w:val="24"/>
                <w:szCs w:val="24"/>
              </w:rPr>
              <w:t>yapar</w:t>
            </w:r>
            <w:proofErr w:type="spellEnd"/>
            <w:r w:rsidR="003A71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57030" w:rsidTr="0024155C">
        <w:tc>
          <w:tcPr>
            <w:tcW w:w="1576" w:type="dxa"/>
          </w:tcPr>
          <w:p w:rsidR="00557030" w:rsidRDefault="00557030" w:rsidP="0055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4"/>
          </w:tcPr>
          <w:p w:rsidR="00557030" w:rsidRDefault="00557030" w:rsidP="00557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30" w:rsidTr="0024155C">
        <w:tc>
          <w:tcPr>
            <w:tcW w:w="1576" w:type="dxa"/>
          </w:tcPr>
          <w:p w:rsidR="00557030" w:rsidRDefault="00557030" w:rsidP="0055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Kısa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İsim</w:t>
            </w:r>
            <w:proofErr w:type="spellEnd"/>
          </w:p>
          <w:p w:rsidR="00557030" w:rsidRDefault="00557030" w:rsidP="0055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15/2022</w:t>
            </w:r>
          </w:p>
          <w:p w:rsidR="00557030" w:rsidRDefault="00557030" w:rsidP="0055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17E2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28/2022</w:t>
            </w:r>
          </w:p>
          <w:p w:rsidR="00557030" w:rsidRDefault="00557030" w:rsidP="00D1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17E2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48/2023</w:t>
            </w:r>
          </w:p>
          <w:p w:rsidR="003A71A8" w:rsidRDefault="003A71A8" w:rsidP="00D1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68/2023</w:t>
            </w:r>
          </w:p>
        </w:tc>
        <w:tc>
          <w:tcPr>
            <w:tcW w:w="7654" w:type="dxa"/>
            <w:gridSpan w:val="4"/>
          </w:tcPr>
          <w:p w:rsidR="00557030" w:rsidRPr="00557030" w:rsidRDefault="00557030" w:rsidP="00557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0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Belediyelerin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Birleştirilmesine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İlişkin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Özel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Değişiklik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Yasası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olarak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isimlendirilir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aşağıda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olarak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anılan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Belediyelerin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Birleştirilmesine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İlişkin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Özel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birlikte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okunur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7030" w:rsidTr="0024155C">
        <w:tc>
          <w:tcPr>
            <w:tcW w:w="1576" w:type="dxa"/>
          </w:tcPr>
          <w:p w:rsidR="00557030" w:rsidRDefault="00557030" w:rsidP="0055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4"/>
          </w:tcPr>
          <w:p w:rsidR="00557030" w:rsidRPr="00557030" w:rsidRDefault="00557030" w:rsidP="00557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30" w:rsidTr="0024155C">
        <w:tc>
          <w:tcPr>
            <w:tcW w:w="1576" w:type="dxa"/>
          </w:tcPr>
          <w:p w:rsidR="00557030" w:rsidRDefault="00557030" w:rsidP="0095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Yasanın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Geçici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Maddesinin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gridSpan w:val="4"/>
          </w:tcPr>
          <w:p w:rsidR="00557030" w:rsidRPr="00557030" w:rsidRDefault="00557030" w:rsidP="00557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Geçici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Maddesinin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fıkrası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kaldırılmak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yerine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aşağıdaki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fıkra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konmak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suretiyle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değiştirilir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165B2" w:rsidTr="000165B2">
        <w:tc>
          <w:tcPr>
            <w:tcW w:w="1576" w:type="dxa"/>
          </w:tcPr>
          <w:p w:rsidR="000165B2" w:rsidRDefault="000165B2" w:rsidP="0055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Değiştirilmesi</w:t>
            </w:r>
            <w:proofErr w:type="spellEnd"/>
          </w:p>
        </w:tc>
        <w:tc>
          <w:tcPr>
            <w:tcW w:w="300" w:type="dxa"/>
          </w:tcPr>
          <w:p w:rsidR="000165B2" w:rsidRDefault="000165B2" w:rsidP="00557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165B2" w:rsidRDefault="003A71A8" w:rsidP="00557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0165B2">
              <w:rPr>
                <w:rFonts w:ascii="Times New Roman" w:hAnsi="Times New Roman" w:cs="Times New Roman"/>
                <w:sz w:val="24"/>
                <w:szCs w:val="24"/>
              </w:rPr>
              <w:t>65/2007</w:t>
            </w:r>
          </w:p>
          <w:p w:rsidR="000165B2" w:rsidRDefault="000165B2" w:rsidP="0001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27/2009</w:t>
            </w:r>
          </w:p>
          <w:p w:rsidR="000165B2" w:rsidRDefault="000165B2" w:rsidP="0001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26/2010</w:t>
            </w:r>
          </w:p>
        </w:tc>
        <w:tc>
          <w:tcPr>
            <w:tcW w:w="630" w:type="dxa"/>
          </w:tcPr>
          <w:p w:rsidR="000165B2" w:rsidRDefault="000165B2" w:rsidP="00557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28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5464" w:type="dxa"/>
          </w:tcPr>
          <w:p w:rsidR="000165B2" w:rsidRDefault="000165B2" w:rsidP="00557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Belediye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Personel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Yasasında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öngörülen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sınıflara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intibak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yapılırken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mevcut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kadrolar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kadrolarda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çalışan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belediye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personeli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kadrolarda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fiilen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görevlendirme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çalışmış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belediye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personeli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ilişkin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oldukları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sınıflara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dahil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edilir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65B2" w:rsidRDefault="000165B2" w:rsidP="00D17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Ancak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intibak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işlemleri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yapılırken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kadrolarda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görevlendirmeye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dayanarak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fiilen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çalışmış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belediye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personelinin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yapılan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görevin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maaşını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çekip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çekmediğine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emeklilik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iştirak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payının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yatırılmış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olmadığına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bakılmaz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intibakı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yapılırken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menfaat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sağlayan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kadroya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intibakı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öncelikle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yapılır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İntibak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işlemleri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yapılırken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sınıflar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için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öngörülen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öğrenim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koşuluna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bakılmaksızın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kazanılmış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haklar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göz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önünde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bulundurulur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</w:p>
        </w:tc>
      </w:tr>
      <w:tr w:rsidR="0095435D" w:rsidTr="000165B2">
        <w:tc>
          <w:tcPr>
            <w:tcW w:w="1576" w:type="dxa"/>
          </w:tcPr>
          <w:p w:rsidR="0095435D" w:rsidRDefault="0095435D" w:rsidP="0055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3"/>
          </w:tcPr>
          <w:p w:rsidR="0095435D" w:rsidRDefault="0095435D" w:rsidP="00557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95435D" w:rsidRDefault="0095435D" w:rsidP="00557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0FF" w:rsidTr="00CC3E5B">
        <w:tc>
          <w:tcPr>
            <w:tcW w:w="1576" w:type="dxa"/>
          </w:tcPr>
          <w:p w:rsidR="005360FF" w:rsidRDefault="005360FF" w:rsidP="0055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Yürürlüğe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Giriş</w:t>
            </w:r>
            <w:proofErr w:type="spellEnd"/>
          </w:p>
        </w:tc>
        <w:tc>
          <w:tcPr>
            <w:tcW w:w="7654" w:type="dxa"/>
            <w:gridSpan w:val="4"/>
          </w:tcPr>
          <w:p w:rsidR="005360FF" w:rsidRDefault="005360FF" w:rsidP="00557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Bu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Gazete’de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yayımlandığı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tarihten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başlayarak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yürürlüğe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girer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57030" w:rsidRPr="005846FF" w:rsidRDefault="00557030" w:rsidP="00557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57030" w:rsidRPr="005846F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24D4"/>
    <w:multiLevelType w:val="hybridMultilevel"/>
    <w:tmpl w:val="0C6E2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FF"/>
    <w:rsid w:val="000165B2"/>
    <w:rsid w:val="0024155C"/>
    <w:rsid w:val="003A71A8"/>
    <w:rsid w:val="005360FF"/>
    <w:rsid w:val="00557030"/>
    <w:rsid w:val="005846FF"/>
    <w:rsid w:val="006A25A3"/>
    <w:rsid w:val="0095435D"/>
    <w:rsid w:val="00A64EA0"/>
    <w:rsid w:val="00B46C62"/>
    <w:rsid w:val="00D17E28"/>
    <w:rsid w:val="00D63302"/>
    <w:rsid w:val="00F0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Tahir Temizel</dc:creator>
  <cp:lastModifiedBy>Tahir Temizel</cp:lastModifiedBy>
  <cp:revision>2</cp:revision>
  <cp:lastPrinted>2024-02-23T07:41:00Z</cp:lastPrinted>
  <dcterms:created xsi:type="dcterms:W3CDTF">2024-03-12T07:51:00Z</dcterms:created>
  <dcterms:modified xsi:type="dcterms:W3CDTF">2024-03-12T07:51:00Z</dcterms:modified>
</cp:coreProperties>
</file>