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567"/>
        <w:gridCol w:w="33"/>
        <w:gridCol w:w="540"/>
        <w:gridCol w:w="74"/>
        <w:gridCol w:w="6869"/>
      </w:tblGrid>
      <w:tr w:rsidR="00BE47D2" w:rsidRPr="00011264" w:rsidTr="005D01A1"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7D2" w:rsidRPr="00011264" w:rsidRDefault="00722A13" w:rsidP="004232CE">
            <w:pPr>
              <w:tabs>
                <w:tab w:val="center" w:pos="4861"/>
                <w:tab w:val="left" w:pos="6423"/>
              </w:tabs>
              <w:jc w:val="both"/>
              <w:rPr>
                <w:b/>
                <w:color w:val="000000"/>
              </w:rPr>
            </w:pPr>
            <w:r>
              <w:t>Kuzey Kıbrıs Türk Cumhuriyeti Cumhuriyet Meclisi’nin 9 Temmuz 2024 tarihli Üçüncü Olağanüstü Birleşiminde O</w:t>
            </w:r>
            <w:r w:rsidR="004232CE">
              <w:t>ybirliğiyle</w:t>
            </w:r>
            <w:r>
              <w:t xml:space="preserve"> kabul olunan </w:t>
            </w:r>
            <w:r>
              <w:rPr>
                <w:color w:val="000000"/>
              </w:rPr>
              <w:t>“Ceza (Değişiklik) Yasası</w:t>
            </w:r>
            <w:r>
              <w:rPr>
                <w:sz w:val="26"/>
                <w:szCs w:val="26"/>
                <w:lang w:val="en-AU" w:eastAsia="en-US"/>
              </w:rPr>
              <w:t xml:space="preserve">” </w:t>
            </w:r>
            <w:r>
              <w:t>An</w:t>
            </w:r>
            <w:r w:rsidR="004232CE">
              <w:t>ayasanın 94’</w:t>
            </w:r>
            <w:r w:rsidR="001D0FFA">
              <w:t>üncü maddesinin (l)’</w:t>
            </w:r>
            <w:r>
              <w:t>inci fıkrası gereğince Kuzey Kıbrıs Türk Cumhuriyeti Cumhur</w:t>
            </w:r>
            <w:r w:rsidR="004232CE">
              <w:t>başkanı tarafından Resmi Gazete’</w:t>
            </w:r>
            <w:r>
              <w:t>de yayımlanmak suretiyle ilan olunur.</w:t>
            </w:r>
          </w:p>
        </w:tc>
      </w:tr>
      <w:tr w:rsidR="00FF729E" w:rsidRPr="00011264" w:rsidTr="005D01A1"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9E" w:rsidRDefault="00FF729E" w:rsidP="004232CE">
            <w:pPr>
              <w:tabs>
                <w:tab w:val="center" w:pos="4861"/>
                <w:tab w:val="left" w:pos="6423"/>
              </w:tabs>
              <w:jc w:val="both"/>
            </w:pPr>
          </w:p>
        </w:tc>
      </w:tr>
      <w:tr w:rsidR="00FF729E" w:rsidRPr="00011264" w:rsidTr="005D01A1"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9E" w:rsidRDefault="00FF729E" w:rsidP="00FF729E">
            <w:pPr>
              <w:tabs>
                <w:tab w:val="center" w:pos="4861"/>
                <w:tab w:val="left" w:pos="6423"/>
              </w:tabs>
              <w:jc w:val="center"/>
            </w:pPr>
            <w:r>
              <w:t>Sayı: 65</w:t>
            </w:r>
            <w:bookmarkStart w:id="0" w:name="_GoBack"/>
            <w:bookmarkEnd w:id="0"/>
            <w:r>
              <w:t>/2024</w:t>
            </w:r>
          </w:p>
        </w:tc>
      </w:tr>
      <w:tr w:rsidR="00722A13" w:rsidRPr="00011264" w:rsidTr="005D01A1"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A13" w:rsidRDefault="00722A13" w:rsidP="00722A13">
            <w:pPr>
              <w:tabs>
                <w:tab w:val="center" w:pos="4861"/>
                <w:tab w:val="left" w:pos="6423"/>
              </w:tabs>
              <w:jc w:val="center"/>
              <w:rPr>
                <w:color w:val="000000"/>
              </w:rPr>
            </w:pPr>
          </w:p>
          <w:p w:rsidR="00722A13" w:rsidRPr="0041290C" w:rsidRDefault="00722A13" w:rsidP="00722A13">
            <w:pPr>
              <w:tabs>
                <w:tab w:val="center" w:pos="4861"/>
                <w:tab w:val="left" w:pos="6423"/>
              </w:tabs>
              <w:jc w:val="center"/>
              <w:rPr>
                <w:color w:val="000000"/>
              </w:rPr>
            </w:pPr>
            <w:r w:rsidRPr="0041290C">
              <w:rPr>
                <w:color w:val="000000"/>
              </w:rPr>
              <w:t>CEZA (DEĞİŞİKLİK) YASASI</w:t>
            </w:r>
          </w:p>
          <w:p w:rsidR="00722A13" w:rsidRPr="0041290C" w:rsidRDefault="00722A13" w:rsidP="0069140A">
            <w:pPr>
              <w:tabs>
                <w:tab w:val="center" w:pos="4861"/>
                <w:tab w:val="left" w:pos="6423"/>
              </w:tabs>
              <w:jc w:val="center"/>
              <w:rPr>
                <w:color w:val="000000"/>
              </w:rPr>
            </w:pPr>
          </w:p>
        </w:tc>
      </w:tr>
      <w:tr w:rsidR="00BE47D2" w:rsidRPr="00011264" w:rsidTr="005D01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rPr>
                <w:b/>
              </w:rPr>
            </w:pP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47D2" w:rsidRDefault="005D01A1" w:rsidP="0069140A">
            <w:pPr>
              <w:tabs>
                <w:tab w:val="left" w:pos="1560"/>
                <w:tab w:val="left" w:pos="241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  <w:r w:rsidR="00BE47D2" w:rsidRPr="00011264">
              <w:rPr>
                <w:color w:val="000000" w:themeColor="text1"/>
              </w:rPr>
              <w:t>Kuzey Kıbrıs Türk Cumhuriyeti Cumhuriyet Meclisi aşağıdaki Yasayı yapar:</w:t>
            </w:r>
          </w:p>
          <w:p w:rsidR="007F4C99" w:rsidRPr="00011264" w:rsidRDefault="007F4C99" w:rsidP="0069140A">
            <w:pPr>
              <w:tabs>
                <w:tab w:val="left" w:pos="1560"/>
                <w:tab w:val="left" w:pos="241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7F4C99" w:rsidRPr="00011264" w:rsidTr="00840DF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F4C99" w:rsidRPr="00011264" w:rsidRDefault="007F4C99" w:rsidP="0069140A">
            <w:pPr>
              <w:tabs>
                <w:tab w:val="left" w:pos="1560"/>
                <w:tab w:val="left" w:pos="2410"/>
              </w:tabs>
              <w:rPr>
                <w:b/>
              </w:rPr>
            </w:pPr>
            <w:r w:rsidRPr="00011264">
              <w:t>Kısa İsim</w:t>
            </w:r>
          </w:p>
          <w:p w:rsidR="007F4C99" w:rsidRDefault="007F4C99" w:rsidP="00501F5A">
            <w:pPr>
              <w:tabs>
                <w:tab w:val="left" w:pos="1560"/>
                <w:tab w:val="left" w:pos="2410"/>
              </w:tabs>
            </w:pPr>
            <w:r w:rsidRPr="00011264">
              <w:t xml:space="preserve">Fasıl 154 </w:t>
            </w:r>
            <w:r>
              <w:t xml:space="preserve">                </w:t>
            </w:r>
          </w:p>
          <w:p w:rsidR="007F4C99" w:rsidRDefault="007F4C99" w:rsidP="00501F5A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  </w:t>
            </w:r>
            <w:r w:rsidRPr="00011264">
              <w:t>3/1962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</w:pPr>
            <w:r>
              <w:t xml:space="preserve">    </w:t>
            </w:r>
            <w:r w:rsidR="00177521">
              <w:t>43/1963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15/1972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20/1974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</w:pPr>
            <w:r>
              <w:t xml:space="preserve">    </w:t>
            </w:r>
            <w:r w:rsidRPr="00011264">
              <w:t xml:space="preserve">31/1975 </w:t>
            </w:r>
            <w:r>
              <w:t xml:space="preserve">  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  </w:t>
            </w:r>
            <w:r w:rsidRPr="00011264">
              <w:t>6/1983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22/1989</w:t>
            </w:r>
            <w:r>
              <w:t xml:space="preserve">     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64/1989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11/1997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</w:pPr>
            <w:r>
              <w:t xml:space="preserve">    </w:t>
            </w:r>
            <w:r w:rsidRPr="00011264">
              <w:t>20/2004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41/2007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20/2014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45/2014</w:t>
            </w:r>
          </w:p>
          <w:p w:rsidR="007F4C99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</w:t>
            </w:r>
            <w:r w:rsidRPr="00011264">
              <w:t>26/2018</w:t>
            </w:r>
          </w:p>
          <w:p w:rsidR="007F4C99" w:rsidRPr="00011264" w:rsidRDefault="007F4C99" w:rsidP="005D01A1">
            <w:pPr>
              <w:tabs>
                <w:tab w:val="left" w:pos="1560"/>
                <w:tab w:val="left" w:pos="2410"/>
              </w:tabs>
              <w:rPr>
                <w:b/>
              </w:rPr>
            </w:pPr>
            <w:r>
              <w:t xml:space="preserve">    14/2020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C99" w:rsidRPr="007F4C99" w:rsidRDefault="007F4C99" w:rsidP="007F4C99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Bu Yasa, Ceza (Değişiklik) Yasası olarak isimlendirilir ve aşağıda “Esas Yasa” olarak anılan Ceza Yasası ile birlikte okunur.</w:t>
            </w:r>
          </w:p>
        </w:tc>
      </w:tr>
      <w:tr w:rsidR="00BE47D2" w:rsidRPr="00011264" w:rsidTr="00F647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F647CA"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ind w:right="-108" w:hanging="108"/>
              <w:jc w:val="center"/>
              <w:rPr>
                <w:b/>
                <w:color w:val="00000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ind w:right="-108"/>
              <w:jc w:val="both"/>
              <w:rPr>
                <w:b/>
              </w:rPr>
            </w:pPr>
          </w:p>
        </w:tc>
      </w:tr>
      <w:tr w:rsidR="007F4C99" w:rsidRPr="00011264" w:rsidTr="000443F2">
        <w:tc>
          <w:tcPr>
            <w:tcW w:w="1644" w:type="dxa"/>
            <w:vMerge w:val="restart"/>
            <w:tcBorders>
              <w:top w:val="nil"/>
              <w:left w:val="nil"/>
              <w:right w:val="nil"/>
            </w:tcBorders>
          </w:tcPr>
          <w:p w:rsidR="007F4C99" w:rsidRPr="00011264" w:rsidRDefault="007F4C99" w:rsidP="006B3F11">
            <w:pPr>
              <w:tabs>
                <w:tab w:val="left" w:pos="1560"/>
                <w:tab w:val="left" w:pos="2410"/>
              </w:tabs>
              <w:rPr>
                <w:b/>
                <w:color w:val="000000"/>
              </w:rPr>
            </w:pPr>
            <w:r w:rsidRPr="00011264">
              <w:rPr>
                <w:color w:val="000000"/>
              </w:rPr>
              <w:t>Esas Yasanın 2</w:t>
            </w:r>
            <w:r>
              <w:rPr>
                <w:color w:val="000000"/>
              </w:rPr>
              <w:t xml:space="preserve">10’uncu Maddesinin 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C99" w:rsidRPr="007F4C99" w:rsidRDefault="007F4C99" w:rsidP="007F4BFE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F4C99">
              <w:rPr>
                <w:rFonts w:ascii="Times New Roman" w:hAnsi="Times New Roman" w:cs="Times New Roman"/>
                <w:sz w:val="24"/>
                <w:szCs w:val="24"/>
              </w:rPr>
              <w:t xml:space="preserve">Esas Yasa, 210’uncu maddesinin (2)’nci fıkrası kaldırılmak ve yerine aşağıdaki yeni (2)’nci fıkra </w:t>
            </w:r>
            <w:r w:rsidR="007F4BFE">
              <w:rPr>
                <w:rFonts w:ascii="Times New Roman" w:hAnsi="Times New Roman" w:cs="Times New Roman"/>
                <w:sz w:val="24"/>
                <w:szCs w:val="24"/>
              </w:rPr>
              <w:t>konmak</w:t>
            </w:r>
            <w:r w:rsidRPr="007F4C99">
              <w:rPr>
                <w:rFonts w:ascii="Times New Roman" w:hAnsi="Times New Roman" w:cs="Times New Roman"/>
                <w:sz w:val="24"/>
                <w:szCs w:val="24"/>
              </w:rPr>
              <w:t xml:space="preserve"> suretiyle değiştirilir:</w:t>
            </w:r>
          </w:p>
        </w:tc>
      </w:tr>
      <w:tr w:rsidR="00BE47D2" w:rsidRPr="00011264" w:rsidTr="00F647CA">
        <w:tc>
          <w:tcPr>
            <w:tcW w:w="1644" w:type="dxa"/>
            <w:vMerge/>
            <w:tcBorders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F647CA"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77521" w:rsidRPr="00011264" w:rsidTr="0017752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77521" w:rsidRPr="00011264" w:rsidRDefault="00177521" w:rsidP="0069140A">
            <w:pPr>
              <w:tabs>
                <w:tab w:val="left" w:pos="1560"/>
                <w:tab w:val="left" w:pos="24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Değiştirilme</w:t>
            </w:r>
            <w:r w:rsidRPr="00011264">
              <w:rPr>
                <w:color w:val="000000"/>
              </w:rPr>
              <w:t>si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521" w:rsidRPr="00011264" w:rsidRDefault="00177521" w:rsidP="0069140A">
            <w:pPr>
              <w:tabs>
                <w:tab w:val="left" w:pos="1560"/>
                <w:tab w:val="left" w:pos="2410"/>
              </w:tabs>
              <w:ind w:right="-108" w:hanging="108"/>
              <w:jc w:val="center"/>
              <w:rPr>
                <w:b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7521" w:rsidRPr="00011264" w:rsidRDefault="00177521" w:rsidP="0069140A">
            <w:pPr>
              <w:tabs>
                <w:tab w:val="left" w:pos="1560"/>
                <w:tab w:val="left" w:pos="2410"/>
              </w:tabs>
              <w:ind w:right="-108" w:hanging="10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“(2</w:t>
            </w:r>
            <w:r w:rsidRPr="00011264">
              <w:rPr>
                <w:color w:val="000000"/>
              </w:rPr>
              <w:t>)</w:t>
            </w:r>
          </w:p>
        </w:tc>
        <w:tc>
          <w:tcPr>
            <w:tcW w:w="69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77521" w:rsidRPr="003C05CA" w:rsidRDefault="00177521" w:rsidP="00BE3B54">
            <w:pPr>
              <w:tabs>
                <w:tab w:val="left" w:pos="1050"/>
              </w:tabs>
              <w:jc w:val="both"/>
              <w:rPr>
                <w:b/>
                <w:color w:val="000000" w:themeColor="text1"/>
              </w:rPr>
            </w:pP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Yukarıdaki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(1)’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inci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fıkrada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belirtilen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tedbirsizliğin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ağır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ihmal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teşkil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etmeyen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aceleci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dikkatsiz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eylemin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araç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sürücüsü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tarafından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işlenmesi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herhangi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şekilde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trafikte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meydana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gelmiş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olması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halinde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bu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tedbirsizliği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eylemi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gerçekleştiren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kişi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suç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işlemiş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olur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mahkumiyeti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halinde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suçun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işlendiği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tarihte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yürürlükte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bulunan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aylık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brüt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asgari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ücretin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75 (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yetmiş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beş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)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katına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kadar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para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cezasına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r w:rsidR="00BE3B54">
              <w:rPr>
                <w:sz w:val="26"/>
                <w:szCs w:val="26"/>
                <w:lang w:val="en-AU" w:eastAsia="en-US"/>
              </w:rPr>
              <w:t xml:space="preserve">            </w:t>
            </w:r>
            <w:r w:rsidRPr="00177521">
              <w:rPr>
                <w:sz w:val="26"/>
                <w:szCs w:val="26"/>
                <w:lang w:val="en-AU" w:eastAsia="en-US"/>
              </w:rPr>
              <w:t>1</w:t>
            </w:r>
            <w:r w:rsidR="00BE3B54">
              <w:rPr>
                <w:sz w:val="26"/>
                <w:szCs w:val="26"/>
                <w:lang w:val="en-AU" w:eastAsia="en-US"/>
              </w:rPr>
              <w:t>4</w:t>
            </w:r>
            <w:r w:rsidRPr="00177521">
              <w:rPr>
                <w:sz w:val="26"/>
                <w:szCs w:val="26"/>
                <w:lang w:val="en-AU" w:eastAsia="en-US"/>
              </w:rPr>
              <w:t xml:space="preserve"> (on</w:t>
            </w:r>
            <w:r w:rsidR="00BE3B54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="00BE3B54">
              <w:rPr>
                <w:sz w:val="26"/>
                <w:szCs w:val="26"/>
                <w:lang w:val="en-AU" w:eastAsia="en-US"/>
              </w:rPr>
              <w:t>dört</w:t>
            </w:r>
            <w:proofErr w:type="spellEnd"/>
            <w:r w:rsidR="00BE3B54">
              <w:rPr>
                <w:sz w:val="26"/>
                <w:szCs w:val="26"/>
                <w:lang w:val="en-AU" w:eastAsia="en-US"/>
              </w:rPr>
              <w:t>)</w:t>
            </w:r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yıla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kadar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hapis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cezasına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her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iki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cezaya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birden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çarptırılabilir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.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Mahkeme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ayrıca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belirtilen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cezalara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ek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olarak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araç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sürücüsünü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belli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süreyle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süresiz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olarak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öğrenci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ehliyeti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sürüş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ehliyeti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her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türlü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ehliyet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sahibi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olmaktan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men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edebilir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.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Böyle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suçla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ilgili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olarak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soruşturma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veya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kovuşturmanın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başlamasından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itibaren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en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geç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5 (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beş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)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günü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içerisinde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mahkemeye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müracaat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yapılır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araç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sürücüsünün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hangi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ülkede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verildiğine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bakılmaksızın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öğrenci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ehliyeti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sürüş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ehliyeti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ve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her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türlü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ehliyetine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,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dava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neticeleninceye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kadar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lastRenderedPageBreak/>
              <w:t>herhangi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bir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zaman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mahkemece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 xml:space="preserve"> el </w:t>
            </w:r>
            <w:proofErr w:type="spellStart"/>
            <w:r w:rsidRPr="00177521">
              <w:rPr>
                <w:sz w:val="26"/>
                <w:szCs w:val="26"/>
                <w:lang w:val="en-AU" w:eastAsia="en-US"/>
              </w:rPr>
              <w:t>konabilir</w:t>
            </w:r>
            <w:proofErr w:type="spellEnd"/>
            <w:r w:rsidRPr="00177521">
              <w:rPr>
                <w:sz w:val="26"/>
                <w:szCs w:val="26"/>
                <w:lang w:val="en-AU" w:eastAsia="en-US"/>
              </w:rPr>
              <w:t>.</w:t>
            </w:r>
            <w:r w:rsidR="007F4BFE">
              <w:rPr>
                <w:sz w:val="26"/>
                <w:szCs w:val="26"/>
                <w:lang w:val="en-AU" w:eastAsia="en-US"/>
              </w:rPr>
              <w:t>”</w:t>
            </w:r>
          </w:p>
        </w:tc>
      </w:tr>
      <w:tr w:rsidR="00BE47D2" w:rsidRPr="00011264" w:rsidTr="0017752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F647CA"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ind w:right="-108" w:hanging="108"/>
              <w:jc w:val="center"/>
              <w:rPr>
                <w:b/>
                <w:color w:val="000000"/>
              </w:rPr>
            </w:pPr>
          </w:p>
        </w:tc>
        <w:tc>
          <w:tcPr>
            <w:tcW w:w="69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05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BE47D2" w:rsidRPr="00011264" w:rsidTr="0017752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F647CA"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560"/>
                <w:tab w:val="left" w:pos="2410"/>
              </w:tabs>
              <w:ind w:right="-108" w:hanging="108"/>
              <w:jc w:val="center"/>
              <w:rPr>
                <w:b/>
                <w:color w:val="000000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7D2" w:rsidRPr="00011264" w:rsidRDefault="00BE47D2" w:rsidP="0069140A">
            <w:pPr>
              <w:tabs>
                <w:tab w:val="left" w:pos="1050"/>
              </w:tabs>
              <w:jc w:val="both"/>
              <w:rPr>
                <w:b/>
              </w:rPr>
            </w:pPr>
          </w:p>
        </w:tc>
      </w:tr>
      <w:tr w:rsidR="007F4C99" w:rsidRPr="00011264" w:rsidTr="004A0A0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F4C99" w:rsidRPr="004313E1" w:rsidRDefault="007F4C99" w:rsidP="0069140A">
            <w:pPr>
              <w:tabs>
                <w:tab w:val="left" w:pos="1560"/>
                <w:tab w:val="left" w:pos="2410"/>
              </w:tabs>
              <w:rPr>
                <w:b/>
                <w:color w:val="000000"/>
              </w:rPr>
            </w:pPr>
            <w:r w:rsidRPr="004313E1">
              <w:rPr>
                <w:color w:val="000000"/>
              </w:rPr>
              <w:t>Yürürlüğe Giriş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C99" w:rsidRPr="004313E1" w:rsidRDefault="007F4C99" w:rsidP="00177521">
            <w:pPr>
              <w:tabs>
                <w:tab w:val="left" w:pos="1560"/>
                <w:tab w:val="left" w:pos="2410"/>
              </w:tabs>
              <w:ind w:right="-82"/>
              <w:jc w:val="both"/>
              <w:rPr>
                <w:b/>
                <w:color w:val="000000"/>
              </w:rPr>
            </w:pPr>
            <w:r w:rsidRPr="004313E1">
              <w:rPr>
                <w:color w:val="000000"/>
              </w:rPr>
              <w:t>3.</w:t>
            </w:r>
            <w:r>
              <w:rPr>
                <w:b/>
                <w:color w:val="000000"/>
              </w:rPr>
              <w:t xml:space="preserve"> </w:t>
            </w:r>
            <w:r w:rsidRPr="004313E1">
              <w:rPr>
                <w:color w:val="000000"/>
              </w:rPr>
              <w:t xml:space="preserve">Bu Yasa, Resmi Gazete’de </w:t>
            </w:r>
            <w:r w:rsidR="00177521">
              <w:rPr>
                <w:color w:val="000000"/>
              </w:rPr>
              <w:t xml:space="preserve"> </w:t>
            </w:r>
            <w:r w:rsidRPr="004313E1">
              <w:rPr>
                <w:color w:val="000000"/>
              </w:rPr>
              <w:t>yayımlandığı tarihten</w:t>
            </w:r>
            <w:r w:rsidR="00177521">
              <w:rPr>
                <w:color w:val="000000"/>
              </w:rPr>
              <w:t xml:space="preserve"> </w:t>
            </w:r>
            <w:r w:rsidRPr="004313E1">
              <w:rPr>
                <w:color w:val="000000"/>
              </w:rPr>
              <w:t xml:space="preserve"> başlayarak </w:t>
            </w:r>
            <w:r w:rsidR="00177521">
              <w:rPr>
                <w:color w:val="000000"/>
              </w:rPr>
              <w:t xml:space="preserve"> </w:t>
            </w:r>
            <w:r w:rsidRPr="004313E1">
              <w:rPr>
                <w:color w:val="000000"/>
              </w:rPr>
              <w:t xml:space="preserve">yürürlüğe </w:t>
            </w:r>
            <w:r w:rsidR="00177521">
              <w:rPr>
                <w:color w:val="000000"/>
              </w:rPr>
              <w:t xml:space="preserve"> </w:t>
            </w:r>
            <w:r w:rsidRPr="004313E1">
              <w:rPr>
                <w:color w:val="000000"/>
              </w:rPr>
              <w:t>girer.</w:t>
            </w:r>
          </w:p>
        </w:tc>
      </w:tr>
    </w:tbl>
    <w:p w:rsidR="00BE47D2" w:rsidRDefault="00BE47D2" w:rsidP="00BE47D2"/>
    <w:p w:rsidR="00BE47D2" w:rsidRDefault="00BE47D2"/>
    <w:sectPr w:rsidR="00BE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06C"/>
    <w:multiLevelType w:val="hybridMultilevel"/>
    <w:tmpl w:val="DCBCDCD0"/>
    <w:lvl w:ilvl="0" w:tplc="F2623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D2"/>
    <w:rsid w:val="00177521"/>
    <w:rsid w:val="001D0FFA"/>
    <w:rsid w:val="002131EA"/>
    <w:rsid w:val="00254790"/>
    <w:rsid w:val="002D34AA"/>
    <w:rsid w:val="00354CCD"/>
    <w:rsid w:val="0041290C"/>
    <w:rsid w:val="004232CE"/>
    <w:rsid w:val="00501F5A"/>
    <w:rsid w:val="00530C22"/>
    <w:rsid w:val="005D01A1"/>
    <w:rsid w:val="006B3F11"/>
    <w:rsid w:val="00722A13"/>
    <w:rsid w:val="007F4BFE"/>
    <w:rsid w:val="007F4C99"/>
    <w:rsid w:val="00BD2A4B"/>
    <w:rsid w:val="00BE3B54"/>
    <w:rsid w:val="00BE47D2"/>
    <w:rsid w:val="00CC2DB7"/>
    <w:rsid w:val="00E62BB2"/>
    <w:rsid w:val="00F647CA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E47D2"/>
    <w:pPr>
      <w:keepNext/>
      <w:jc w:val="center"/>
      <w:outlineLvl w:val="0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7D2"/>
    <w:rPr>
      <w:rFonts w:ascii="Arial Black" w:eastAsia="Times New Roman" w:hAnsi="Arial Black" w:cs="Times New Roman"/>
      <w:b/>
      <w:sz w:val="28"/>
      <w:szCs w:val="24"/>
      <w:lang w:eastAsia="tr-TR"/>
    </w:rPr>
  </w:style>
  <w:style w:type="paragraph" w:styleId="BodyText">
    <w:name w:val="Body Text"/>
    <w:basedOn w:val="Normal"/>
    <w:link w:val="BodyTextChar"/>
    <w:rsid w:val="00BE47D2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E47D2"/>
    <w:rPr>
      <w:rFonts w:ascii="Times New Roman" w:eastAsia="Times New Roman" w:hAnsi="Times New Roman" w:cs="Times New Roman"/>
      <w:sz w:val="24"/>
      <w:szCs w:val="20"/>
    </w:rPr>
  </w:style>
  <w:style w:type="character" w:customStyle="1" w:styleId="PlainTextChar">
    <w:name w:val="Plain Text Char"/>
    <w:aliases w:val="Char Char, Char Char"/>
    <w:basedOn w:val="DefaultParagraphFont"/>
    <w:link w:val="PlainText"/>
    <w:uiPriority w:val="99"/>
    <w:locked/>
    <w:rsid w:val="00BE47D2"/>
    <w:rPr>
      <w:rFonts w:ascii="Courier New" w:hAnsi="Courier New" w:cs="Courier New"/>
    </w:rPr>
  </w:style>
  <w:style w:type="paragraph" w:styleId="PlainText">
    <w:name w:val="Plain Text"/>
    <w:aliases w:val="Char, Char"/>
    <w:basedOn w:val="Normal"/>
    <w:link w:val="PlainTextChar"/>
    <w:uiPriority w:val="99"/>
    <w:unhideWhenUsed/>
    <w:rsid w:val="00BE47D2"/>
    <w:pPr>
      <w:spacing w:before="100" w:beforeAutospacing="1" w:after="100" w:afterAutospacing="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DzMetinChar1">
    <w:name w:val="Düz Metin Char1"/>
    <w:basedOn w:val="DefaultParagraphFont"/>
    <w:uiPriority w:val="99"/>
    <w:semiHidden/>
    <w:rsid w:val="00BE47D2"/>
    <w:rPr>
      <w:rFonts w:ascii="Consolas" w:eastAsia="Times New Roman" w:hAnsi="Consolas" w:cs="Consolas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E47D2"/>
    <w:pPr>
      <w:keepNext/>
      <w:jc w:val="center"/>
      <w:outlineLvl w:val="0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7D2"/>
    <w:rPr>
      <w:rFonts w:ascii="Arial Black" w:eastAsia="Times New Roman" w:hAnsi="Arial Black" w:cs="Times New Roman"/>
      <w:b/>
      <w:sz w:val="28"/>
      <w:szCs w:val="24"/>
      <w:lang w:eastAsia="tr-TR"/>
    </w:rPr>
  </w:style>
  <w:style w:type="paragraph" w:styleId="BodyText">
    <w:name w:val="Body Text"/>
    <w:basedOn w:val="Normal"/>
    <w:link w:val="BodyTextChar"/>
    <w:rsid w:val="00BE47D2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E47D2"/>
    <w:rPr>
      <w:rFonts w:ascii="Times New Roman" w:eastAsia="Times New Roman" w:hAnsi="Times New Roman" w:cs="Times New Roman"/>
      <w:sz w:val="24"/>
      <w:szCs w:val="20"/>
    </w:rPr>
  </w:style>
  <w:style w:type="character" w:customStyle="1" w:styleId="PlainTextChar">
    <w:name w:val="Plain Text Char"/>
    <w:aliases w:val="Char Char, Char Char"/>
    <w:basedOn w:val="DefaultParagraphFont"/>
    <w:link w:val="PlainText"/>
    <w:uiPriority w:val="99"/>
    <w:locked/>
    <w:rsid w:val="00BE47D2"/>
    <w:rPr>
      <w:rFonts w:ascii="Courier New" w:hAnsi="Courier New" w:cs="Courier New"/>
    </w:rPr>
  </w:style>
  <w:style w:type="paragraph" w:styleId="PlainText">
    <w:name w:val="Plain Text"/>
    <w:aliases w:val="Char, Char"/>
    <w:basedOn w:val="Normal"/>
    <w:link w:val="PlainTextChar"/>
    <w:uiPriority w:val="99"/>
    <w:unhideWhenUsed/>
    <w:rsid w:val="00BE47D2"/>
    <w:pPr>
      <w:spacing w:before="100" w:beforeAutospacing="1" w:after="100" w:afterAutospacing="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DzMetinChar1">
    <w:name w:val="Düz Metin Char1"/>
    <w:basedOn w:val="DefaultParagraphFont"/>
    <w:uiPriority w:val="99"/>
    <w:semiHidden/>
    <w:rsid w:val="00BE47D2"/>
    <w:rPr>
      <w:rFonts w:ascii="Consolas" w:eastAsia="Times New Roman" w:hAnsi="Consolas" w:cs="Consolas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Polis Genel Müdürlüğü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Hayriye İnatcı</cp:lastModifiedBy>
  <cp:revision>14</cp:revision>
  <cp:lastPrinted>2024-07-03T20:38:00Z</cp:lastPrinted>
  <dcterms:created xsi:type="dcterms:W3CDTF">2024-05-29T08:29:00Z</dcterms:created>
  <dcterms:modified xsi:type="dcterms:W3CDTF">2024-07-18T07:06:00Z</dcterms:modified>
</cp:coreProperties>
</file>