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1762B" w14:textId="4255AD79" w:rsidR="00FB49C4" w:rsidRPr="00566FF8" w:rsidRDefault="00FB49C4" w:rsidP="00FB49C4">
      <w:pPr>
        <w:jc w:val="both"/>
        <w:rPr>
          <w:lang w:eastAsia="en-US"/>
        </w:rPr>
      </w:pPr>
      <w:bookmarkStart w:id="0" w:name="_GoBack"/>
      <w:r w:rsidRPr="00566FF8">
        <w:rPr>
          <w:lang w:eastAsia="en-US"/>
        </w:rPr>
        <w:t xml:space="preserve">Kuzey Kıbrıs Türk Cumhuriyeti Cumhuriyet Meclisi’nin </w:t>
      </w:r>
      <w:r>
        <w:rPr>
          <w:lang w:eastAsia="en-US"/>
        </w:rPr>
        <w:t>3 Temmuz</w:t>
      </w:r>
      <w:r w:rsidRPr="00566FF8">
        <w:rPr>
          <w:lang w:eastAsia="en-US"/>
        </w:rPr>
        <w:t xml:space="preserve"> 2024 tarihli </w:t>
      </w:r>
      <w:r>
        <w:rPr>
          <w:lang w:eastAsia="en-US"/>
        </w:rPr>
        <w:t xml:space="preserve">İkinci Olağanüstü </w:t>
      </w:r>
      <w:r w:rsidRPr="00566FF8">
        <w:rPr>
          <w:lang w:eastAsia="en-US"/>
        </w:rPr>
        <w:t>Birleşiminde Oy</w:t>
      </w:r>
      <w:r>
        <w:rPr>
          <w:lang w:eastAsia="en-US"/>
        </w:rPr>
        <w:t xml:space="preserve">birliğiyle </w:t>
      </w:r>
      <w:r w:rsidRPr="00566FF8">
        <w:rPr>
          <w:lang w:eastAsia="en-US"/>
        </w:rPr>
        <w:t>kabul olunan “</w:t>
      </w:r>
      <w:r w:rsidRPr="007D1FDA">
        <w:rPr>
          <w:lang w:eastAsia="en-US"/>
        </w:rPr>
        <w:t>Madalya ve Nişanlar (Değişiklik) Yasası</w:t>
      </w:r>
      <w:r w:rsidRPr="00566FF8">
        <w:rPr>
          <w:lang w:eastAsia="en-US"/>
        </w:rPr>
        <w:t xml:space="preserve">” Anayasanın 94’üncü maddesinin (1)’inci fıkrası gereğince Kuzey Kıbrıs Türk Cumhuriyeti Cumhurbaşkanı tarafından Resmi </w:t>
      </w:r>
      <w:proofErr w:type="spellStart"/>
      <w:r w:rsidRPr="00566FF8">
        <w:rPr>
          <w:lang w:eastAsia="en-US"/>
        </w:rPr>
        <w:t>Gazete’de</w:t>
      </w:r>
      <w:proofErr w:type="spellEnd"/>
      <w:r w:rsidRPr="00566FF8">
        <w:rPr>
          <w:lang w:eastAsia="en-US"/>
        </w:rPr>
        <w:t xml:space="preserve"> yayımlanmak suretiyle ilan olunur.</w:t>
      </w:r>
    </w:p>
    <w:p w14:paraId="362F148E" w14:textId="77777777" w:rsidR="00FB49C4" w:rsidRPr="00566FF8" w:rsidRDefault="00FB49C4" w:rsidP="00FB49C4">
      <w:pPr>
        <w:jc w:val="center"/>
        <w:rPr>
          <w:lang w:eastAsia="en-US"/>
        </w:rPr>
      </w:pPr>
    </w:p>
    <w:p w14:paraId="4734699F" w14:textId="43847F6C" w:rsidR="00FB49C4" w:rsidRPr="00566FF8" w:rsidRDefault="00FB49C4" w:rsidP="00FB49C4">
      <w:pPr>
        <w:jc w:val="center"/>
        <w:rPr>
          <w:lang w:eastAsia="en-US"/>
        </w:rPr>
      </w:pPr>
      <w:r w:rsidRPr="00566FF8">
        <w:rPr>
          <w:lang w:eastAsia="en-US"/>
        </w:rPr>
        <w:t xml:space="preserve">Sayı: </w:t>
      </w:r>
      <w:r>
        <w:rPr>
          <w:lang w:eastAsia="en-US"/>
        </w:rPr>
        <w:t>60</w:t>
      </w:r>
      <w:r w:rsidRPr="00566FF8">
        <w:rPr>
          <w:lang w:eastAsia="en-US"/>
        </w:rPr>
        <w:t>/2024</w:t>
      </w:r>
    </w:p>
    <w:bookmarkEnd w:id="0"/>
    <w:p w14:paraId="40C4D107" w14:textId="77777777" w:rsidR="00FB49C4" w:rsidRDefault="00FB49C4" w:rsidP="00FB49C4">
      <w:pPr>
        <w:jc w:val="center"/>
      </w:pPr>
    </w:p>
    <w:tbl>
      <w:tblPr>
        <w:tblW w:w="0" w:type="auto"/>
        <w:tblLayout w:type="fixed"/>
        <w:tblLook w:val="0000" w:firstRow="0" w:lastRow="0" w:firstColumn="0" w:lastColumn="0" w:noHBand="0" w:noVBand="0"/>
      </w:tblPr>
      <w:tblGrid>
        <w:gridCol w:w="1668"/>
        <w:gridCol w:w="510"/>
        <w:gridCol w:w="1530"/>
        <w:gridCol w:w="5130"/>
      </w:tblGrid>
      <w:tr w:rsidR="0011482B" w:rsidRPr="007D1FDA" w14:paraId="25DCEDCB" w14:textId="77777777" w:rsidTr="00680C87">
        <w:tc>
          <w:tcPr>
            <w:tcW w:w="8838" w:type="dxa"/>
            <w:gridSpan w:val="4"/>
          </w:tcPr>
          <w:p w14:paraId="22477045" w14:textId="34B82387" w:rsidR="0011482B" w:rsidRPr="007D1FDA" w:rsidRDefault="003C5D24" w:rsidP="00DB35D5">
            <w:pPr>
              <w:jc w:val="both"/>
            </w:pPr>
            <w:r w:rsidRPr="007D1FDA">
              <w:t xml:space="preserve">                         MADALYA VE NİŞANLAR  (DEĞİŞİKLİK) YASA</w:t>
            </w:r>
            <w:r w:rsidR="002F0BCF" w:rsidRPr="007D1FDA">
              <w:t>SI</w:t>
            </w:r>
          </w:p>
          <w:p w14:paraId="1EBBCE10" w14:textId="77777777" w:rsidR="0011482B" w:rsidRPr="007D1FDA" w:rsidRDefault="0011482B" w:rsidP="006336C9">
            <w:pPr>
              <w:ind w:firstLine="1310"/>
              <w:jc w:val="both"/>
            </w:pPr>
          </w:p>
        </w:tc>
      </w:tr>
      <w:tr w:rsidR="006336C9" w:rsidRPr="007D1FDA" w14:paraId="033547BA" w14:textId="77777777" w:rsidTr="006336C9">
        <w:tc>
          <w:tcPr>
            <w:tcW w:w="1668" w:type="dxa"/>
          </w:tcPr>
          <w:p w14:paraId="0CBA75E9" w14:textId="77777777" w:rsidR="006336C9" w:rsidRPr="007D1FDA" w:rsidRDefault="006336C9" w:rsidP="00DB35D5">
            <w:pPr>
              <w:jc w:val="both"/>
            </w:pPr>
          </w:p>
        </w:tc>
        <w:tc>
          <w:tcPr>
            <w:tcW w:w="7170" w:type="dxa"/>
            <w:gridSpan w:val="3"/>
          </w:tcPr>
          <w:p w14:paraId="63BDD7B3" w14:textId="0508E624" w:rsidR="006336C9" w:rsidRPr="007D1FDA" w:rsidRDefault="006336C9" w:rsidP="006336C9">
            <w:pPr>
              <w:jc w:val="both"/>
            </w:pPr>
            <w:r w:rsidRPr="007D1FDA">
              <w:t xml:space="preserve">       Kuzey Kıbrıs Türk Cumhuriyeti Cumhuriyet Meclisi aşağıdaki Yasayı yapar:</w:t>
            </w:r>
          </w:p>
          <w:p w14:paraId="249BAC7F" w14:textId="2080EABF" w:rsidR="006336C9" w:rsidRPr="007D1FDA" w:rsidRDefault="006336C9" w:rsidP="00DB35D5">
            <w:pPr>
              <w:jc w:val="both"/>
            </w:pPr>
          </w:p>
        </w:tc>
      </w:tr>
      <w:tr w:rsidR="006336C9" w:rsidRPr="007D1FDA" w14:paraId="675E9DE0" w14:textId="77777777" w:rsidTr="00D2148E">
        <w:tc>
          <w:tcPr>
            <w:tcW w:w="1668" w:type="dxa"/>
          </w:tcPr>
          <w:p w14:paraId="279B3E25" w14:textId="77777777" w:rsidR="006336C9" w:rsidRPr="007D1FDA" w:rsidRDefault="006336C9" w:rsidP="00DB35D5">
            <w:pPr>
              <w:jc w:val="both"/>
              <w:rPr>
                <w:lang w:eastAsia="en-US"/>
              </w:rPr>
            </w:pPr>
            <w:r w:rsidRPr="007D1FDA">
              <w:rPr>
                <w:lang w:eastAsia="en-US"/>
              </w:rPr>
              <w:t xml:space="preserve">Kısa İsim </w:t>
            </w:r>
          </w:p>
          <w:p w14:paraId="09ABCA2A" w14:textId="77777777" w:rsidR="006336C9" w:rsidRPr="007D1FDA" w:rsidRDefault="006336C9" w:rsidP="006336C9">
            <w:pPr>
              <w:jc w:val="center"/>
            </w:pPr>
            <w:r w:rsidRPr="007D1FDA">
              <w:rPr>
                <w:lang w:eastAsia="en-US"/>
              </w:rPr>
              <w:t>56/2000</w:t>
            </w:r>
          </w:p>
        </w:tc>
        <w:tc>
          <w:tcPr>
            <w:tcW w:w="7170" w:type="dxa"/>
            <w:gridSpan w:val="3"/>
          </w:tcPr>
          <w:p w14:paraId="0CA58363" w14:textId="01B74A88" w:rsidR="006336C9" w:rsidRPr="007D1FDA" w:rsidRDefault="006336C9" w:rsidP="00DB35D5">
            <w:pPr>
              <w:jc w:val="both"/>
              <w:rPr>
                <w:lang w:eastAsia="en-US"/>
              </w:rPr>
            </w:pPr>
            <w:r w:rsidRPr="007D1FDA">
              <w:t xml:space="preserve">1. </w:t>
            </w:r>
            <w:r w:rsidRPr="007D1FDA">
              <w:rPr>
                <w:lang w:eastAsia="en-US"/>
              </w:rPr>
              <w:t>Bu Yasa, Madalya ve Nişanlar (Değişiklik) Yasası olarak isimlendirilir ve aşağıda “Esas Yasa” olarak anılan</w:t>
            </w:r>
            <w:r w:rsidRPr="007D1FDA">
              <w:t xml:space="preserve"> </w:t>
            </w:r>
            <w:r w:rsidRPr="007D1FDA">
              <w:rPr>
                <w:lang w:eastAsia="en-US"/>
              </w:rPr>
              <w:t>Madalya ve Nişanlar Yasası ile birlikte okunur.</w:t>
            </w:r>
          </w:p>
          <w:p w14:paraId="44AE2217" w14:textId="77777777" w:rsidR="006336C9" w:rsidRPr="007D1FDA" w:rsidRDefault="006336C9" w:rsidP="00DB35D5">
            <w:pPr>
              <w:jc w:val="both"/>
            </w:pPr>
          </w:p>
        </w:tc>
      </w:tr>
      <w:tr w:rsidR="006336C9" w:rsidRPr="007D1FDA" w14:paraId="44049445" w14:textId="77777777" w:rsidTr="00E17D24">
        <w:trPr>
          <w:trHeight w:val="662"/>
        </w:trPr>
        <w:tc>
          <w:tcPr>
            <w:tcW w:w="1668" w:type="dxa"/>
          </w:tcPr>
          <w:p w14:paraId="673CE97C" w14:textId="010C561A" w:rsidR="006336C9" w:rsidRPr="007D1FDA" w:rsidRDefault="006336C9" w:rsidP="006336C9">
            <w:r w:rsidRPr="007D1FDA">
              <w:t xml:space="preserve">Esas Yasanın 11’inci Maddesinin </w:t>
            </w:r>
          </w:p>
        </w:tc>
        <w:tc>
          <w:tcPr>
            <w:tcW w:w="7170" w:type="dxa"/>
            <w:gridSpan w:val="3"/>
          </w:tcPr>
          <w:p w14:paraId="3D06AC16" w14:textId="4D468F81" w:rsidR="006336C9" w:rsidRPr="007D1FDA" w:rsidRDefault="006336C9" w:rsidP="00DB35D5">
            <w:pPr>
              <w:jc w:val="both"/>
              <w:rPr>
                <w:noProof/>
              </w:rPr>
            </w:pPr>
            <w:r w:rsidRPr="007D1FDA">
              <w:t xml:space="preserve">2. </w:t>
            </w:r>
            <w:r w:rsidR="002F0BCF" w:rsidRPr="007D1FDA">
              <w:rPr>
                <w:noProof/>
              </w:rPr>
              <w:t>Esas Yasa, 11’inci maddesi kaldırılmak ve yerine aşağıdaki yeni 11’nci madde konmak suretiyle değiştirilir:</w:t>
            </w:r>
          </w:p>
        </w:tc>
      </w:tr>
      <w:tr w:rsidR="007F4664" w:rsidRPr="007D1FDA" w14:paraId="4619BC90" w14:textId="77777777" w:rsidTr="002F0BCF">
        <w:tc>
          <w:tcPr>
            <w:tcW w:w="1668" w:type="dxa"/>
          </w:tcPr>
          <w:p w14:paraId="1931430C" w14:textId="514FD3EC" w:rsidR="007F4664" w:rsidRPr="007D1FDA" w:rsidRDefault="006336C9" w:rsidP="00680C87">
            <w:pPr>
              <w:rPr>
                <w:lang w:eastAsia="en-US"/>
              </w:rPr>
            </w:pPr>
            <w:r w:rsidRPr="007D1FDA">
              <w:t>Değiştirilmesi</w:t>
            </w:r>
          </w:p>
        </w:tc>
        <w:tc>
          <w:tcPr>
            <w:tcW w:w="510" w:type="dxa"/>
          </w:tcPr>
          <w:p w14:paraId="7E127F2F" w14:textId="2296636C" w:rsidR="007F4664" w:rsidRPr="007D1FDA" w:rsidRDefault="007F4664" w:rsidP="00DB35D5">
            <w:pPr>
              <w:jc w:val="both"/>
            </w:pPr>
          </w:p>
        </w:tc>
        <w:tc>
          <w:tcPr>
            <w:tcW w:w="1530" w:type="dxa"/>
          </w:tcPr>
          <w:p w14:paraId="11E5D664" w14:textId="65C39B7E" w:rsidR="007F4664" w:rsidRPr="007D1FDA" w:rsidRDefault="002F0BCF" w:rsidP="00680C87">
            <w:pPr>
              <w:jc w:val="both"/>
            </w:pPr>
            <w:r w:rsidRPr="007D1FDA">
              <w:rPr>
                <w:rFonts w:eastAsia="Calibri"/>
                <w:lang w:eastAsia="en-US"/>
              </w:rPr>
              <w:t>“Madalya ve Nişanların Zayi</w:t>
            </w:r>
          </w:p>
        </w:tc>
        <w:tc>
          <w:tcPr>
            <w:tcW w:w="5130" w:type="dxa"/>
          </w:tcPr>
          <w:p w14:paraId="406BD92E" w14:textId="77777777" w:rsidR="007572A2" w:rsidRPr="007D1FDA" w:rsidRDefault="002F0BCF" w:rsidP="007572A2">
            <w:pPr>
              <w:jc w:val="both"/>
              <w:rPr>
                <w:rFonts w:eastAsia="Calibri"/>
                <w:lang w:eastAsia="en-US"/>
              </w:rPr>
            </w:pPr>
            <w:r w:rsidRPr="007D1FDA">
              <w:rPr>
                <w:rFonts w:eastAsia="Calibri"/>
                <w:lang w:eastAsia="en-US"/>
              </w:rPr>
              <w:t xml:space="preserve">11. </w:t>
            </w:r>
            <w:r w:rsidR="007572A2" w:rsidRPr="007D1FDA">
              <w:rPr>
                <w:rFonts w:eastAsia="Calibri"/>
                <w:lang w:eastAsia="en-US"/>
              </w:rPr>
              <w:t>Madalya ve nişan sahiplerinden, madalyası ve nişanı herhangi bir nedenle veya mücbir sebep sonucu zayi olanlar, durumu en kısa zamanda tescil eden makama bildirmek zorundadırlar. Başbakanlıkça madalya ve nişanın zayiinde kusursuz olduklarına kanaat getirilenlere bir defaya mahsus olmak üzere madalya ve nişanları tekrar verilir.</w:t>
            </w:r>
          </w:p>
          <w:p w14:paraId="74E9BD8D" w14:textId="04778A6A" w:rsidR="007F4664" w:rsidRPr="007D1FDA" w:rsidRDefault="007572A2" w:rsidP="007572A2">
            <w:pPr>
              <w:jc w:val="both"/>
              <w:rPr>
                <w:lang w:eastAsia="en-US"/>
              </w:rPr>
            </w:pPr>
            <w:r w:rsidRPr="007D1FDA">
              <w:rPr>
                <w:lang w:eastAsia="en-US"/>
              </w:rPr>
              <w:t xml:space="preserve">       </w:t>
            </w:r>
            <w:proofErr w:type="gramStart"/>
            <w:r w:rsidRPr="007D1FDA">
              <w:rPr>
                <w:lang w:eastAsia="en-US"/>
              </w:rPr>
              <w:t xml:space="preserve">Ayrıca bu Yasanın 4’üncü ve 5’nci maddesi uyarınca </w:t>
            </w:r>
            <w:r w:rsidRPr="007D1FDA">
              <w:rPr>
                <w:rFonts w:eastAsia="Calibri"/>
                <w:bCs/>
                <w:lang w:eastAsia="en-US"/>
              </w:rPr>
              <w:t>1955 - 1.8.1976 tarihleri arasında herhangi bir süre görev yapan mukavemetçi, mücahit, gazi,</w:t>
            </w:r>
            <w:r w:rsidRPr="007D1FDA">
              <w:rPr>
                <w:rFonts w:eastAsia="Calibri"/>
                <w:lang w:eastAsia="en-US"/>
              </w:rPr>
              <w:t xml:space="preserve"> </w:t>
            </w:r>
            <w:r w:rsidRPr="007D1FDA">
              <w:rPr>
                <w:rFonts w:eastAsia="Calibri"/>
                <w:noProof/>
                <w:color w:val="000000"/>
                <w:lang w:eastAsia="en-US"/>
              </w:rPr>
              <w:t>1974 Barış Harekatına katılan, malül gazi ve hadise kurbanı ile şehit olan kişilerin yanında gazi alay sancaklarında görev yapanlara da madalya ve nişan verilir ve bu Yasanın 7’nci maddesinde belirtilen mirasçılara da yukarıda belirtilen kurallar aynen uygulanır</w:t>
            </w:r>
            <w:r w:rsidR="002F0BCF" w:rsidRPr="007D1FDA">
              <w:rPr>
                <w:lang w:eastAsia="en-US"/>
              </w:rPr>
              <w:t>.”</w:t>
            </w:r>
            <w:proofErr w:type="gramEnd"/>
          </w:p>
        </w:tc>
      </w:tr>
      <w:tr w:rsidR="0011482B" w:rsidRPr="007D1FDA" w14:paraId="345169D4" w14:textId="77777777" w:rsidTr="002F0BCF">
        <w:tc>
          <w:tcPr>
            <w:tcW w:w="1668" w:type="dxa"/>
          </w:tcPr>
          <w:p w14:paraId="6463C158" w14:textId="77777777" w:rsidR="0011482B" w:rsidRPr="007D1FDA" w:rsidRDefault="0011482B" w:rsidP="00DB35D5">
            <w:pPr>
              <w:jc w:val="both"/>
            </w:pPr>
          </w:p>
        </w:tc>
        <w:tc>
          <w:tcPr>
            <w:tcW w:w="510" w:type="dxa"/>
          </w:tcPr>
          <w:p w14:paraId="61FD2F6C" w14:textId="77777777" w:rsidR="0011482B" w:rsidRPr="007D1FDA" w:rsidRDefault="0011482B" w:rsidP="00DB35D5">
            <w:pPr>
              <w:jc w:val="both"/>
            </w:pPr>
          </w:p>
        </w:tc>
        <w:tc>
          <w:tcPr>
            <w:tcW w:w="6660" w:type="dxa"/>
            <w:gridSpan w:val="2"/>
          </w:tcPr>
          <w:p w14:paraId="49113600" w14:textId="77777777" w:rsidR="0011482B" w:rsidRPr="007D1FDA" w:rsidRDefault="0011482B" w:rsidP="00DB35D5">
            <w:pPr>
              <w:jc w:val="both"/>
            </w:pPr>
          </w:p>
        </w:tc>
      </w:tr>
      <w:tr w:rsidR="006336C9" w:rsidRPr="007D1FDA" w14:paraId="54F15439" w14:textId="77777777" w:rsidTr="004B0132">
        <w:tc>
          <w:tcPr>
            <w:tcW w:w="1668" w:type="dxa"/>
          </w:tcPr>
          <w:p w14:paraId="3255BCF6" w14:textId="77777777" w:rsidR="006336C9" w:rsidRPr="007D1FDA" w:rsidRDefault="006336C9" w:rsidP="00DB35D5">
            <w:r w:rsidRPr="007D1FDA">
              <w:t>Yürürlüğe Giriş</w:t>
            </w:r>
          </w:p>
        </w:tc>
        <w:tc>
          <w:tcPr>
            <w:tcW w:w="7170" w:type="dxa"/>
            <w:gridSpan w:val="3"/>
          </w:tcPr>
          <w:p w14:paraId="72DAF4E1" w14:textId="327EC5A4" w:rsidR="006336C9" w:rsidRPr="007D1FDA" w:rsidRDefault="006336C9" w:rsidP="006336C9">
            <w:pPr>
              <w:jc w:val="both"/>
            </w:pPr>
            <w:r w:rsidRPr="007D1FDA">
              <w:t xml:space="preserve">3. Bu Yasa, Resmi </w:t>
            </w:r>
            <w:proofErr w:type="spellStart"/>
            <w:r w:rsidRPr="007D1FDA">
              <w:t>Gazete’de</w:t>
            </w:r>
            <w:proofErr w:type="spellEnd"/>
            <w:r w:rsidRPr="007D1FDA">
              <w:t xml:space="preserve"> yayımlandığı tarihten başlayarak yürürlüğe girer</w:t>
            </w:r>
            <w:r w:rsidR="00000EF3" w:rsidRPr="007D1FDA">
              <w:t>.</w:t>
            </w:r>
          </w:p>
        </w:tc>
      </w:tr>
    </w:tbl>
    <w:p w14:paraId="4938EB8B" w14:textId="77777777" w:rsidR="0011482B" w:rsidRPr="007D1FDA" w:rsidRDefault="0011482B"/>
    <w:sectPr w:rsidR="0011482B" w:rsidRPr="007D1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E3"/>
    <w:rsid w:val="00000EF3"/>
    <w:rsid w:val="00040EFC"/>
    <w:rsid w:val="00052FD4"/>
    <w:rsid w:val="00065459"/>
    <w:rsid w:val="0009118A"/>
    <w:rsid w:val="00091DFC"/>
    <w:rsid w:val="0010667D"/>
    <w:rsid w:val="00107FF6"/>
    <w:rsid w:val="0011482B"/>
    <w:rsid w:val="00163DFF"/>
    <w:rsid w:val="00214987"/>
    <w:rsid w:val="00215264"/>
    <w:rsid w:val="002417EC"/>
    <w:rsid w:val="002D2CD5"/>
    <w:rsid w:val="002D3044"/>
    <w:rsid w:val="002F0BCF"/>
    <w:rsid w:val="003273BB"/>
    <w:rsid w:val="0032750A"/>
    <w:rsid w:val="003549A7"/>
    <w:rsid w:val="003A156C"/>
    <w:rsid w:val="003C5D24"/>
    <w:rsid w:val="004044B7"/>
    <w:rsid w:val="00426862"/>
    <w:rsid w:val="004352AE"/>
    <w:rsid w:val="004818F7"/>
    <w:rsid w:val="004857E8"/>
    <w:rsid w:val="004D60B2"/>
    <w:rsid w:val="004F11E3"/>
    <w:rsid w:val="0051328C"/>
    <w:rsid w:val="005B0E81"/>
    <w:rsid w:val="005B32CC"/>
    <w:rsid w:val="005C147D"/>
    <w:rsid w:val="005E01A1"/>
    <w:rsid w:val="005E1A2C"/>
    <w:rsid w:val="006336C9"/>
    <w:rsid w:val="0064763D"/>
    <w:rsid w:val="00680C87"/>
    <w:rsid w:val="00692D9D"/>
    <w:rsid w:val="006D473F"/>
    <w:rsid w:val="0072508C"/>
    <w:rsid w:val="00742055"/>
    <w:rsid w:val="007572A2"/>
    <w:rsid w:val="007C635D"/>
    <w:rsid w:val="007D1FDA"/>
    <w:rsid w:val="007F4664"/>
    <w:rsid w:val="00840B46"/>
    <w:rsid w:val="00896FE9"/>
    <w:rsid w:val="008C3E4F"/>
    <w:rsid w:val="008F5038"/>
    <w:rsid w:val="00910797"/>
    <w:rsid w:val="009136DC"/>
    <w:rsid w:val="009360B9"/>
    <w:rsid w:val="00972CBF"/>
    <w:rsid w:val="009A097A"/>
    <w:rsid w:val="009B1545"/>
    <w:rsid w:val="00A136F8"/>
    <w:rsid w:val="00A366E8"/>
    <w:rsid w:val="00A96787"/>
    <w:rsid w:val="00AE2ECC"/>
    <w:rsid w:val="00AE75D9"/>
    <w:rsid w:val="00B04EA6"/>
    <w:rsid w:val="00B165C6"/>
    <w:rsid w:val="00B46981"/>
    <w:rsid w:val="00B629F9"/>
    <w:rsid w:val="00B86F20"/>
    <w:rsid w:val="00BA3CF7"/>
    <w:rsid w:val="00BE068A"/>
    <w:rsid w:val="00BF4441"/>
    <w:rsid w:val="00CA7374"/>
    <w:rsid w:val="00CD0B90"/>
    <w:rsid w:val="00D01EDC"/>
    <w:rsid w:val="00D43E3B"/>
    <w:rsid w:val="00D70B01"/>
    <w:rsid w:val="00DC6422"/>
    <w:rsid w:val="00E74DBE"/>
    <w:rsid w:val="00E83F6F"/>
    <w:rsid w:val="00EC2BF6"/>
    <w:rsid w:val="00F435AB"/>
    <w:rsid w:val="00FB4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66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66E8"/>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66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66E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1613">
      <w:bodyDiv w:val="1"/>
      <w:marLeft w:val="0"/>
      <w:marRight w:val="0"/>
      <w:marTop w:val="0"/>
      <w:marBottom w:val="0"/>
      <w:divBdr>
        <w:top w:val="none" w:sz="0" w:space="0" w:color="auto"/>
        <w:left w:val="none" w:sz="0" w:space="0" w:color="auto"/>
        <w:bottom w:val="none" w:sz="0" w:space="0" w:color="auto"/>
        <w:right w:val="none" w:sz="0" w:space="0" w:color="auto"/>
      </w:divBdr>
      <w:divsChild>
        <w:div w:id="1870491439">
          <w:marLeft w:val="0"/>
          <w:marRight w:val="0"/>
          <w:marTop w:val="0"/>
          <w:marBottom w:val="0"/>
          <w:divBdr>
            <w:top w:val="none" w:sz="0" w:space="0" w:color="auto"/>
            <w:left w:val="none" w:sz="0" w:space="0" w:color="auto"/>
            <w:bottom w:val="none" w:sz="0" w:space="0" w:color="auto"/>
            <w:right w:val="none" w:sz="0" w:space="0" w:color="auto"/>
          </w:divBdr>
        </w:div>
        <w:div w:id="141235686">
          <w:marLeft w:val="0"/>
          <w:marRight w:val="0"/>
          <w:marTop w:val="0"/>
          <w:marBottom w:val="0"/>
          <w:divBdr>
            <w:top w:val="none" w:sz="0" w:space="0" w:color="auto"/>
            <w:left w:val="none" w:sz="0" w:space="0" w:color="auto"/>
            <w:bottom w:val="none" w:sz="0" w:space="0" w:color="auto"/>
            <w:right w:val="none" w:sz="0" w:space="0" w:color="auto"/>
          </w:divBdr>
        </w:div>
      </w:divsChild>
    </w:div>
    <w:div w:id="705526779">
      <w:bodyDiv w:val="1"/>
      <w:marLeft w:val="0"/>
      <w:marRight w:val="0"/>
      <w:marTop w:val="0"/>
      <w:marBottom w:val="0"/>
      <w:divBdr>
        <w:top w:val="none" w:sz="0" w:space="0" w:color="auto"/>
        <w:left w:val="none" w:sz="0" w:space="0" w:color="auto"/>
        <w:bottom w:val="none" w:sz="0" w:space="0" w:color="auto"/>
        <w:right w:val="none" w:sz="0" w:space="0" w:color="auto"/>
      </w:divBdr>
      <w:divsChild>
        <w:div w:id="1916432681">
          <w:marLeft w:val="0"/>
          <w:marRight w:val="0"/>
          <w:marTop w:val="0"/>
          <w:marBottom w:val="0"/>
          <w:divBdr>
            <w:top w:val="none" w:sz="0" w:space="0" w:color="auto"/>
            <w:left w:val="none" w:sz="0" w:space="0" w:color="auto"/>
            <w:bottom w:val="none" w:sz="0" w:space="0" w:color="auto"/>
            <w:right w:val="none" w:sz="0" w:space="0" w:color="auto"/>
          </w:divBdr>
        </w:div>
        <w:div w:id="1327978720">
          <w:marLeft w:val="0"/>
          <w:marRight w:val="0"/>
          <w:marTop w:val="0"/>
          <w:marBottom w:val="0"/>
          <w:divBdr>
            <w:top w:val="none" w:sz="0" w:space="0" w:color="auto"/>
            <w:left w:val="none" w:sz="0" w:space="0" w:color="auto"/>
            <w:bottom w:val="none" w:sz="0" w:space="0" w:color="auto"/>
            <w:right w:val="none" w:sz="0" w:space="0" w:color="auto"/>
          </w:divBdr>
        </w:div>
      </w:divsChild>
    </w:div>
    <w:div w:id="1112046581">
      <w:bodyDiv w:val="1"/>
      <w:marLeft w:val="0"/>
      <w:marRight w:val="0"/>
      <w:marTop w:val="0"/>
      <w:marBottom w:val="0"/>
      <w:divBdr>
        <w:top w:val="none" w:sz="0" w:space="0" w:color="auto"/>
        <w:left w:val="none" w:sz="0" w:space="0" w:color="auto"/>
        <w:bottom w:val="none" w:sz="0" w:space="0" w:color="auto"/>
        <w:right w:val="none" w:sz="0" w:space="0" w:color="auto"/>
      </w:divBdr>
    </w:div>
    <w:div w:id="12212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DeboMac</dc:creator>
  <cp:lastModifiedBy>Aysel Baysal</cp:lastModifiedBy>
  <cp:revision>3</cp:revision>
  <cp:lastPrinted>2024-07-03T20:48:00Z</cp:lastPrinted>
  <dcterms:created xsi:type="dcterms:W3CDTF">2024-07-12T05:42:00Z</dcterms:created>
  <dcterms:modified xsi:type="dcterms:W3CDTF">2024-07-12T05:54:00Z</dcterms:modified>
</cp:coreProperties>
</file>