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736"/>
        <w:gridCol w:w="65"/>
        <w:gridCol w:w="292"/>
        <w:gridCol w:w="34"/>
        <w:gridCol w:w="675"/>
        <w:gridCol w:w="425"/>
        <w:gridCol w:w="992"/>
        <w:gridCol w:w="5332"/>
        <w:gridCol w:w="55"/>
      </w:tblGrid>
      <w:tr w:rsidR="005A40AA" w:rsidTr="005A40AA">
        <w:trPr>
          <w:gridAfter w:val="1"/>
          <w:wAfter w:w="55" w:type="dxa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40AA" w:rsidRDefault="005A40AA" w:rsidP="005A40AA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4"/>
              </w:rPr>
              <w:t>Kuzey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Kıbrıs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Cumhuriyeti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Cumhuriyet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Meclisi’nin</w:t>
            </w:r>
            <w:proofErr w:type="spellEnd"/>
            <w:r>
              <w:rPr>
                <w:sz w:val="24"/>
              </w:rPr>
              <w:t xml:space="preserve"> 29 </w:t>
            </w:r>
            <w:proofErr w:type="spellStart"/>
            <w:r>
              <w:rPr>
                <w:sz w:val="24"/>
              </w:rPr>
              <w:t>Mayıs</w:t>
            </w:r>
            <w:proofErr w:type="spellEnd"/>
            <w:r>
              <w:rPr>
                <w:sz w:val="24"/>
              </w:rPr>
              <w:t xml:space="preserve"> 2023 </w:t>
            </w:r>
            <w:proofErr w:type="spellStart"/>
            <w:r>
              <w:rPr>
                <w:sz w:val="24"/>
              </w:rPr>
              <w:t>tarihli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Ellidördüncü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Birleşiminde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Oybirliğiyle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olunan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Siyasal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Partiler</w:t>
            </w:r>
            <w:proofErr w:type="spellEnd"/>
            <w:r>
              <w:rPr>
                <w:sz w:val="24"/>
              </w:rPr>
              <w:t xml:space="preserve"> </w:t>
            </w:r>
            <w:r w:rsidR="00EA5C29">
              <w:rPr>
                <w:sz w:val="24"/>
              </w:rPr>
              <w:t>(</w:t>
            </w:r>
            <w:proofErr w:type="spellStart"/>
            <w:r w:rsidR="00EA5C29">
              <w:rPr>
                <w:sz w:val="24"/>
              </w:rPr>
              <w:t>Değişiklik</w:t>
            </w:r>
            <w:proofErr w:type="spellEnd"/>
            <w:r w:rsidR="00EA5C29">
              <w:rPr>
                <w:sz w:val="24"/>
              </w:rPr>
              <w:t xml:space="preserve">) </w:t>
            </w:r>
            <w:proofErr w:type="spellStart"/>
            <w:r w:rsidR="00EA5C29">
              <w:rPr>
                <w:sz w:val="24"/>
              </w:rPr>
              <w:t>Yasası</w:t>
            </w:r>
            <w:proofErr w:type="spellEnd"/>
            <w:r w:rsidR="00EA5C29">
              <w:rPr>
                <w:sz w:val="24"/>
              </w:rPr>
              <w:t xml:space="preserve">” </w:t>
            </w:r>
            <w:proofErr w:type="spellStart"/>
            <w:r w:rsidR="00EA5C29">
              <w:rPr>
                <w:sz w:val="24"/>
              </w:rPr>
              <w:t>Anayasanın</w:t>
            </w:r>
            <w:proofErr w:type="spellEnd"/>
            <w:r>
              <w:rPr>
                <w:sz w:val="24"/>
              </w:rPr>
              <w:t xml:space="preserve"> 94’üncü </w:t>
            </w:r>
            <w:proofErr w:type="spellStart"/>
            <w:r>
              <w:rPr>
                <w:sz w:val="24"/>
              </w:rPr>
              <w:t>maddesinin</w:t>
            </w:r>
            <w:proofErr w:type="spellEnd"/>
            <w:r>
              <w:rPr>
                <w:sz w:val="24"/>
              </w:rPr>
              <w:t xml:space="preserve"> (l)’</w:t>
            </w:r>
            <w:proofErr w:type="spellStart"/>
            <w:r>
              <w:rPr>
                <w:sz w:val="24"/>
              </w:rPr>
              <w:t>inci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fıkrası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gereğince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Kuzey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Kıbrıs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Cumhuriyeti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Cumhurbaşkanı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Gazete’de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suretiyle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olunur</w:t>
            </w:r>
            <w:proofErr w:type="spellEnd"/>
            <w:r>
              <w:rPr>
                <w:sz w:val="24"/>
              </w:rPr>
              <w:t>.</w:t>
            </w:r>
          </w:p>
          <w:p w:rsidR="005A40AA" w:rsidRDefault="005A40AA" w:rsidP="005A40AA">
            <w:pPr>
              <w:pStyle w:val="BodyText"/>
              <w:jc w:val="center"/>
              <w:rPr>
                <w:sz w:val="24"/>
              </w:rPr>
            </w:pPr>
          </w:p>
          <w:p w:rsidR="005A40AA" w:rsidRDefault="003B21BB" w:rsidP="005A40AA">
            <w:pPr>
              <w:pStyle w:val="BodyTex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Sayı</w:t>
            </w:r>
            <w:proofErr w:type="spellEnd"/>
            <w:r>
              <w:rPr>
                <w:sz w:val="24"/>
              </w:rPr>
              <w:t xml:space="preserve"> : 3</w:t>
            </w:r>
            <w:bookmarkStart w:id="0" w:name="_GoBack"/>
            <w:bookmarkEnd w:id="0"/>
            <w:r w:rsidR="005A40AA">
              <w:rPr>
                <w:sz w:val="24"/>
              </w:rPr>
              <w:t>3/2023</w:t>
            </w:r>
          </w:p>
          <w:p w:rsidR="005A40AA" w:rsidRDefault="005A40AA" w:rsidP="005A40AA">
            <w:pPr>
              <w:pStyle w:val="BodyText"/>
              <w:jc w:val="center"/>
              <w:rPr>
                <w:sz w:val="24"/>
              </w:rPr>
            </w:pPr>
          </w:p>
        </w:tc>
      </w:tr>
      <w:tr w:rsidR="00DA6398" w:rsidRPr="00222A3B" w:rsidTr="00AD0929">
        <w:trPr>
          <w:gridAfter w:val="1"/>
          <w:wAfter w:w="55" w:type="dxa"/>
        </w:trPr>
        <w:tc>
          <w:tcPr>
            <w:tcW w:w="9623" w:type="dxa"/>
            <w:gridSpan w:val="9"/>
          </w:tcPr>
          <w:p w:rsidR="00DA6398" w:rsidRDefault="00DA6398" w:rsidP="00DA6398">
            <w:pPr>
              <w:pStyle w:val="BodyText"/>
              <w:jc w:val="center"/>
              <w:rPr>
                <w:bCs/>
                <w:sz w:val="24"/>
              </w:rPr>
            </w:pPr>
            <w:r w:rsidRPr="00222A3B">
              <w:rPr>
                <w:sz w:val="24"/>
              </w:rPr>
              <w:t xml:space="preserve">SİYASAL PARTİLER </w:t>
            </w:r>
            <w:r>
              <w:rPr>
                <w:bCs/>
                <w:sz w:val="24"/>
              </w:rPr>
              <w:t>(DEĞİŞİKLİK) YASASI</w:t>
            </w:r>
          </w:p>
          <w:p w:rsidR="00DA6398" w:rsidRDefault="00DA6398" w:rsidP="00DA6398">
            <w:pPr>
              <w:jc w:val="both"/>
            </w:pPr>
          </w:p>
        </w:tc>
      </w:tr>
      <w:tr w:rsidR="00222A3B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</w:tcPr>
          <w:p w:rsidR="00222A3B" w:rsidRPr="00222A3B" w:rsidRDefault="00222A3B" w:rsidP="00222A3B"/>
        </w:tc>
        <w:tc>
          <w:tcPr>
            <w:tcW w:w="7815" w:type="dxa"/>
            <w:gridSpan w:val="7"/>
          </w:tcPr>
          <w:p w:rsidR="00222A3B" w:rsidRPr="00222A3B" w:rsidRDefault="00DA6398" w:rsidP="00222A3B">
            <w:pPr>
              <w:jc w:val="both"/>
            </w:pPr>
            <w:r w:rsidRPr="00222A3B">
              <w:t xml:space="preserve">       </w:t>
            </w:r>
            <w:r>
              <w:t xml:space="preserve">  </w:t>
            </w:r>
            <w:proofErr w:type="spellStart"/>
            <w:r w:rsidRPr="00222A3B">
              <w:t>Kuzey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Kıbrıs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Türk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Cumhuriyeti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Cumhuriyet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Meclisi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aşağıdaki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Yasayı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yapar</w:t>
            </w:r>
            <w:proofErr w:type="spellEnd"/>
            <w:r w:rsidRPr="00222A3B">
              <w:t>:</w:t>
            </w:r>
          </w:p>
        </w:tc>
      </w:tr>
      <w:tr w:rsidR="00DA6398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</w:tcPr>
          <w:p w:rsidR="00DA6398" w:rsidRPr="00222A3B" w:rsidRDefault="00DA6398" w:rsidP="00222A3B"/>
        </w:tc>
        <w:tc>
          <w:tcPr>
            <w:tcW w:w="7815" w:type="dxa"/>
            <w:gridSpan w:val="7"/>
          </w:tcPr>
          <w:p w:rsidR="00DA6398" w:rsidRPr="00222A3B" w:rsidRDefault="00DA6398" w:rsidP="00222A3B">
            <w:pPr>
              <w:jc w:val="both"/>
            </w:pPr>
          </w:p>
        </w:tc>
      </w:tr>
      <w:tr w:rsidR="00222A3B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</w:tcPr>
          <w:p w:rsidR="00222A3B" w:rsidRPr="00222A3B" w:rsidRDefault="00222A3B" w:rsidP="00222A3B">
            <w:proofErr w:type="spellStart"/>
            <w:r w:rsidRPr="00222A3B">
              <w:t>Kısa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İsim</w:t>
            </w:r>
            <w:proofErr w:type="spellEnd"/>
          </w:p>
          <w:p w:rsidR="00222A3B" w:rsidRPr="00222A3B" w:rsidRDefault="00222A3B" w:rsidP="00222A3B">
            <w:r w:rsidRPr="00222A3B">
              <w:t>49/2015</w:t>
            </w:r>
          </w:p>
        </w:tc>
        <w:tc>
          <w:tcPr>
            <w:tcW w:w="7815" w:type="dxa"/>
            <w:gridSpan w:val="7"/>
          </w:tcPr>
          <w:p w:rsidR="00222A3B" w:rsidRPr="00222A3B" w:rsidRDefault="00222A3B" w:rsidP="00222A3B">
            <w:pPr>
              <w:jc w:val="both"/>
            </w:pPr>
            <w:r w:rsidRPr="00222A3B">
              <w:t xml:space="preserve">1. Bu </w:t>
            </w:r>
            <w:proofErr w:type="spellStart"/>
            <w:r w:rsidRPr="00222A3B">
              <w:t>Yasa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Siyasal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Partiler</w:t>
            </w:r>
            <w:proofErr w:type="spellEnd"/>
            <w:r w:rsidRPr="00222A3B">
              <w:t xml:space="preserve"> (</w:t>
            </w:r>
            <w:proofErr w:type="spellStart"/>
            <w:r w:rsidRPr="00222A3B">
              <w:t>Değişiklik</w:t>
            </w:r>
            <w:proofErr w:type="spellEnd"/>
            <w:r w:rsidRPr="00222A3B">
              <w:t xml:space="preserve">) </w:t>
            </w:r>
            <w:proofErr w:type="spellStart"/>
            <w:r w:rsidRPr="00222A3B">
              <w:t>Yasası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olarak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isimlendirilir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aşağıda</w:t>
            </w:r>
            <w:proofErr w:type="spellEnd"/>
            <w:r w:rsidRPr="00222A3B">
              <w:t xml:space="preserve"> “</w:t>
            </w:r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</w:t>
            </w:r>
            <w:proofErr w:type="spellEnd"/>
            <w:r w:rsidRPr="00222A3B">
              <w:t xml:space="preserve">” </w:t>
            </w:r>
            <w:proofErr w:type="spellStart"/>
            <w:r w:rsidRPr="00222A3B">
              <w:t>olarak</w:t>
            </w:r>
            <w:proofErr w:type="spellEnd"/>
            <w:r w:rsidRPr="00222A3B">
              <w:t xml:space="preserve"> </w:t>
            </w:r>
            <w:proofErr w:type="spellStart"/>
            <w:r w:rsidR="000746E3">
              <w:t>anılan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Siyasal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Partiler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birlikte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okunur</w:t>
            </w:r>
            <w:proofErr w:type="spellEnd"/>
            <w:r w:rsidRPr="00222A3B">
              <w:t>.</w:t>
            </w:r>
          </w:p>
        </w:tc>
      </w:tr>
      <w:tr w:rsidR="00222A3B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</w:tcPr>
          <w:p w:rsidR="00222A3B" w:rsidRPr="00222A3B" w:rsidRDefault="00222A3B" w:rsidP="00222A3B"/>
        </w:tc>
        <w:tc>
          <w:tcPr>
            <w:tcW w:w="7815" w:type="dxa"/>
            <w:gridSpan w:val="7"/>
          </w:tcPr>
          <w:p w:rsidR="00222A3B" w:rsidRPr="00222A3B" w:rsidRDefault="00222A3B" w:rsidP="00222A3B">
            <w:pPr>
              <w:jc w:val="both"/>
            </w:pPr>
          </w:p>
        </w:tc>
      </w:tr>
      <w:tr w:rsidR="00674D75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75" w:rsidRPr="00222A3B" w:rsidRDefault="00674D75" w:rsidP="00222A3B">
            <w:r w:rsidRPr="00222A3B">
              <w:br w:type="page"/>
            </w:r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Yasanın</w:t>
            </w:r>
            <w:proofErr w:type="spellEnd"/>
            <w:r w:rsidRPr="00222A3B">
              <w:t xml:space="preserve"> 46’ncı </w:t>
            </w:r>
            <w:proofErr w:type="spellStart"/>
            <w:r w:rsidRPr="00222A3B">
              <w:t>Maddesinin</w:t>
            </w:r>
            <w:proofErr w:type="spellEnd"/>
            <w:r w:rsidRPr="00222A3B">
              <w:t xml:space="preserve"> 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75" w:rsidRPr="00222A3B" w:rsidRDefault="00674D75" w:rsidP="00222A3B">
            <w:pPr>
              <w:jc w:val="both"/>
            </w:pPr>
            <w:r w:rsidRPr="00222A3B">
              <w:t xml:space="preserve">2. </w:t>
            </w:r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</w:t>
            </w:r>
            <w:proofErr w:type="spellEnd"/>
            <w:r w:rsidRPr="00222A3B">
              <w:t xml:space="preserve">, 46’ncı </w:t>
            </w:r>
            <w:proofErr w:type="spellStart"/>
            <w:r w:rsidRPr="00222A3B">
              <w:t>maddesinin</w:t>
            </w:r>
            <w:proofErr w:type="spellEnd"/>
            <w:r w:rsidRPr="00222A3B">
              <w:t xml:space="preserve"> (3)’</w:t>
            </w:r>
            <w:proofErr w:type="spellStart"/>
            <w:r w:rsidRPr="00222A3B">
              <w:t>üncü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fıkrası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kaldırılmak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yerine</w:t>
            </w:r>
            <w:proofErr w:type="spellEnd"/>
            <w:r w:rsidR="00E2323D">
              <w:t xml:space="preserve"> </w:t>
            </w:r>
            <w:proofErr w:type="spellStart"/>
            <w:r w:rsidRPr="00222A3B">
              <w:t>aşağıdaki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yeni</w:t>
            </w:r>
            <w:proofErr w:type="spellEnd"/>
            <w:r w:rsidRPr="00222A3B">
              <w:t xml:space="preserve"> (3)’</w:t>
            </w:r>
            <w:proofErr w:type="spellStart"/>
            <w:r w:rsidRPr="00222A3B">
              <w:t>üncü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fıkra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konmak</w:t>
            </w:r>
            <w:proofErr w:type="spellEnd"/>
            <w:r w:rsidRPr="00222A3B">
              <w:t xml:space="preserve">  </w:t>
            </w:r>
            <w:proofErr w:type="spellStart"/>
            <w:r w:rsidRPr="00222A3B">
              <w:t>suretiyle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değiştirilir</w:t>
            </w:r>
            <w:proofErr w:type="spellEnd"/>
            <w:r w:rsidRPr="00222A3B">
              <w:t>:</w:t>
            </w:r>
          </w:p>
          <w:p w:rsidR="00674D75" w:rsidRPr="00222A3B" w:rsidRDefault="00674D75" w:rsidP="00222A3B">
            <w:pPr>
              <w:jc w:val="both"/>
            </w:pPr>
          </w:p>
        </w:tc>
      </w:tr>
      <w:tr w:rsidR="006C3E70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E70" w:rsidRPr="00222A3B" w:rsidRDefault="00222A3B" w:rsidP="00222A3B">
            <w:proofErr w:type="spellStart"/>
            <w:r w:rsidRPr="00222A3B">
              <w:t>Değiştirilmesi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E70" w:rsidRPr="00222A3B" w:rsidRDefault="006C3E70" w:rsidP="00222A3B">
            <w:pPr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C3E70" w:rsidRPr="00222A3B" w:rsidRDefault="006C3E70" w:rsidP="00222A3B">
            <w:pPr>
              <w:jc w:val="both"/>
            </w:pPr>
            <w:r w:rsidRPr="00222A3B">
              <w:t>“(3)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E70" w:rsidRPr="00222A3B" w:rsidRDefault="006C3E70" w:rsidP="00222A3B">
            <w:pPr>
              <w:jc w:val="both"/>
            </w:pPr>
            <w:proofErr w:type="spellStart"/>
            <w:r w:rsidRPr="00222A3B">
              <w:t>Makbuzun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orijinalinin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beş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yıl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süreyle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muhafaza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edilmesi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zorunludur</w:t>
            </w:r>
            <w:proofErr w:type="spellEnd"/>
            <w:r w:rsidRPr="00222A3B">
              <w:t xml:space="preserve">. </w:t>
            </w:r>
            <w:proofErr w:type="spellStart"/>
            <w:r w:rsidRPr="00222A3B">
              <w:t>Bir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partinin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hükümette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görev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alması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halinde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bu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beş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yıllık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süre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partinin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hükümetten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ayrıldığı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tarihte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işlemeye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başlar</w:t>
            </w:r>
            <w:proofErr w:type="spellEnd"/>
            <w:r w:rsidRPr="00222A3B">
              <w:t xml:space="preserve">. </w:t>
            </w:r>
            <w:proofErr w:type="spellStart"/>
            <w:r w:rsidRPr="00222A3B">
              <w:t>Makbuzlar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orijinallerinin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taranması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suretiyle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dijital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>/</w:t>
            </w:r>
            <w:proofErr w:type="spellStart"/>
            <w:r w:rsidRPr="00222A3B">
              <w:t>veya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elektronik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ortamda</w:t>
            </w:r>
            <w:proofErr w:type="spellEnd"/>
            <w:r w:rsidRPr="00222A3B">
              <w:t xml:space="preserve"> da </w:t>
            </w:r>
            <w:proofErr w:type="spellStart"/>
            <w:r w:rsidRPr="00222A3B">
              <w:t>muhafaza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edilebilir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denetim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maksadıyla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dijital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>/</w:t>
            </w:r>
            <w:proofErr w:type="spellStart"/>
            <w:r w:rsidRPr="00222A3B">
              <w:t>veya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elektronik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olarak</w:t>
            </w:r>
            <w:proofErr w:type="spellEnd"/>
            <w:r w:rsidRPr="00222A3B">
              <w:t xml:space="preserve"> da </w:t>
            </w:r>
            <w:proofErr w:type="spellStart"/>
            <w:r w:rsidRPr="00222A3B">
              <w:t>sunulabilir</w:t>
            </w:r>
            <w:proofErr w:type="spellEnd"/>
            <w:r w:rsidRPr="00222A3B">
              <w:t xml:space="preserve">. </w:t>
            </w:r>
            <w:proofErr w:type="spellStart"/>
            <w:r w:rsidRPr="00222A3B">
              <w:t>Denetim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inceleme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amacıyla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talep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edilmesi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halinde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orijinallerinin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sunulması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zorunludur</w:t>
            </w:r>
            <w:proofErr w:type="spellEnd"/>
            <w:r w:rsidRPr="00222A3B">
              <w:t>.”</w:t>
            </w:r>
          </w:p>
        </w:tc>
      </w:tr>
      <w:tr w:rsidR="006C3E70" w:rsidRPr="00222A3B" w:rsidTr="0022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trHeight w:val="311"/>
        </w:trPr>
        <w:tc>
          <w:tcPr>
            <w:tcW w:w="1801" w:type="dxa"/>
            <w:gridSpan w:val="2"/>
            <w:shd w:val="clear" w:color="auto" w:fill="auto"/>
          </w:tcPr>
          <w:p w:rsidR="006C3E70" w:rsidRPr="00222A3B" w:rsidRDefault="006C3E70" w:rsidP="00222A3B">
            <w:r w:rsidRPr="00222A3B">
              <w:br w:type="page"/>
            </w:r>
          </w:p>
        </w:tc>
        <w:tc>
          <w:tcPr>
            <w:tcW w:w="1001" w:type="dxa"/>
            <w:gridSpan w:val="3"/>
            <w:shd w:val="clear" w:color="auto" w:fill="auto"/>
          </w:tcPr>
          <w:p w:rsidR="006C3E70" w:rsidRPr="00222A3B" w:rsidRDefault="006C3E70" w:rsidP="00222A3B"/>
        </w:tc>
        <w:tc>
          <w:tcPr>
            <w:tcW w:w="6804" w:type="dxa"/>
            <w:gridSpan w:val="4"/>
            <w:shd w:val="clear" w:color="auto" w:fill="auto"/>
          </w:tcPr>
          <w:p w:rsidR="006C3E70" w:rsidRPr="00222A3B" w:rsidRDefault="006C3E70" w:rsidP="00222A3B">
            <w:pPr>
              <w:jc w:val="both"/>
            </w:pPr>
          </w:p>
        </w:tc>
      </w:tr>
      <w:tr w:rsidR="006C3E70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E70" w:rsidRPr="00222A3B" w:rsidRDefault="006C3E70" w:rsidP="00222A3B">
            <w:r w:rsidRPr="00222A3B">
              <w:br w:type="page"/>
            </w:r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Yasanın</w:t>
            </w:r>
            <w:proofErr w:type="spellEnd"/>
            <w:r w:rsidRPr="00222A3B">
              <w:t xml:space="preserve"> 51’inci </w:t>
            </w:r>
            <w:proofErr w:type="spellStart"/>
            <w:r w:rsidRPr="00222A3B">
              <w:t>Maddesinin</w:t>
            </w:r>
            <w:proofErr w:type="spellEnd"/>
            <w:r w:rsidRPr="00222A3B">
              <w:t xml:space="preserve"> 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3E70" w:rsidRPr="00222A3B" w:rsidRDefault="006C3E70" w:rsidP="00592401">
            <w:pPr>
              <w:jc w:val="both"/>
            </w:pPr>
            <w:r w:rsidRPr="00222A3B">
              <w:t>3.</w:t>
            </w:r>
            <w:r w:rsidR="000746E3">
              <w:t xml:space="preserve"> </w:t>
            </w:r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</w:t>
            </w:r>
            <w:proofErr w:type="spellEnd"/>
            <w:r w:rsidRPr="00222A3B">
              <w:t xml:space="preserve">, 51’inci </w:t>
            </w:r>
            <w:proofErr w:type="spellStart"/>
            <w:r w:rsidRPr="00222A3B">
              <w:t>maddesinin</w:t>
            </w:r>
            <w:proofErr w:type="spellEnd"/>
            <w:r w:rsidRPr="00222A3B">
              <w:t xml:space="preserve"> (2)’</w:t>
            </w:r>
            <w:proofErr w:type="spellStart"/>
            <w:r w:rsidRPr="00222A3B">
              <w:t>nci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(3)’</w:t>
            </w:r>
            <w:proofErr w:type="spellStart"/>
            <w:r w:rsidRPr="00222A3B">
              <w:t>üncü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fıkraları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kaldırılmak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yerine</w:t>
            </w:r>
            <w:proofErr w:type="spellEnd"/>
            <w:r w:rsidR="00E04BD5">
              <w:t xml:space="preserve"> </w:t>
            </w:r>
            <w:proofErr w:type="spellStart"/>
            <w:r w:rsidR="00E04BD5">
              <w:t>sırasıyla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aşağıdaki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yeni</w:t>
            </w:r>
            <w:proofErr w:type="spellEnd"/>
            <w:r w:rsidRPr="00222A3B">
              <w:t xml:space="preserve"> (2)’</w:t>
            </w:r>
            <w:proofErr w:type="spellStart"/>
            <w:r w:rsidRPr="00222A3B">
              <w:t>nci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(3)’</w:t>
            </w:r>
            <w:proofErr w:type="spellStart"/>
            <w:r w:rsidRPr="00222A3B">
              <w:t>üncü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fıkralar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konmak</w:t>
            </w:r>
            <w:proofErr w:type="spellEnd"/>
            <w:r w:rsidRPr="00222A3B">
              <w:t xml:space="preserve">  </w:t>
            </w:r>
            <w:proofErr w:type="spellStart"/>
            <w:r w:rsidRPr="00222A3B">
              <w:t>suretiyle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değiştirilir</w:t>
            </w:r>
            <w:proofErr w:type="spellEnd"/>
            <w:r w:rsidRPr="00222A3B">
              <w:t>: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6B2ABE">
            <w:proofErr w:type="spellStart"/>
            <w:r w:rsidRPr="00222A3B">
              <w:t>Değiştirilmesi</w:t>
            </w:r>
            <w:proofErr w:type="spellEnd"/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592401">
            <w:pPr>
              <w:jc w:val="both"/>
            </w:pP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/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  <w:r w:rsidRPr="00222A3B">
              <w:t>“(2)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  <w:proofErr w:type="spellStart"/>
            <w:r w:rsidRPr="00222A3B">
              <w:t>Yukarıdaki</w:t>
            </w:r>
            <w:proofErr w:type="spellEnd"/>
            <w:r w:rsidRPr="00222A3B">
              <w:t xml:space="preserve"> (1)’</w:t>
            </w:r>
            <w:proofErr w:type="spellStart"/>
            <w:r w:rsidRPr="00222A3B">
              <w:t>inci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fıkrada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belirtilen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yükümlülükleri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yerine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getirmeyen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siyasal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partiye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Mahkeme</w:t>
            </w:r>
            <w:proofErr w:type="spellEnd"/>
            <w:r w:rsidRPr="00222A3B">
              <w:t xml:space="preserve"> en </w:t>
            </w:r>
            <w:proofErr w:type="spellStart"/>
            <w:r w:rsidRPr="00222A3B">
              <w:t>fazla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iki</w:t>
            </w:r>
            <w:proofErr w:type="spellEnd"/>
            <w:r w:rsidRPr="00222A3B">
              <w:t xml:space="preserve"> ay </w:t>
            </w:r>
            <w:proofErr w:type="spellStart"/>
            <w:r w:rsidRPr="00222A3B">
              <w:t>ek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süre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verebilir</w:t>
            </w:r>
            <w:proofErr w:type="spellEnd"/>
            <w:r w:rsidRPr="00222A3B">
              <w:t xml:space="preserve">. </w:t>
            </w:r>
            <w:proofErr w:type="spellStart"/>
            <w:r w:rsidRPr="00222A3B">
              <w:t>Mahkeme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bu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sürenin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sonunda</w:t>
            </w:r>
            <w:proofErr w:type="spellEnd"/>
            <w:r w:rsidRPr="00222A3B">
              <w:t xml:space="preserve"> da </w:t>
            </w:r>
            <w:proofErr w:type="spellStart"/>
            <w:r w:rsidRPr="00222A3B">
              <w:t>yükümlülüklerini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yerine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getirmeyen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siyasal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partinin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yükümlülüklerin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yerine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getirilmediği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dönemdeki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genel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başkanını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>/</w:t>
            </w:r>
            <w:proofErr w:type="spellStart"/>
            <w:r w:rsidRPr="00222A3B">
              <w:t>veya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yetkilendirdiği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kişiyi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aylık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brüt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asgari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ücretin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yedi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katına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kadar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cezasına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veya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beş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yıla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kadar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ağır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hapis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cezasına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veya</w:t>
            </w:r>
            <w:proofErr w:type="spellEnd"/>
            <w:r w:rsidRPr="00222A3B">
              <w:t xml:space="preserve"> her </w:t>
            </w:r>
            <w:proofErr w:type="spellStart"/>
            <w:r w:rsidRPr="00222A3B">
              <w:t>iki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cezaya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birden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çarptırabilir</w:t>
            </w:r>
            <w:proofErr w:type="spellEnd"/>
            <w:r w:rsidRPr="00222A3B">
              <w:t>.</w:t>
            </w:r>
          </w:p>
          <w:p w:rsidR="00D525F7" w:rsidRPr="00222A3B" w:rsidRDefault="00D525F7" w:rsidP="00E04BD5">
            <w:pPr>
              <w:jc w:val="both"/>
            </w:pPr>
            <w:r w:rsidRPr="00222A3B">
              <w:t xml:space="preserve">        </w:t>
            </w:r>
            <w:proofErr w:type="spellStart"/>
            <w:r w:rsidRPr="00222A3B">
              <w:t>Ancak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yükümlülüklerin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kısmen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yerine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getirilmiş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olması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halinde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Mahkeme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sadece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aylık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brüt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asgari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ücretin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üç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katına</w:t>
            </w:r>
            <w:proofErr w:type="spellEnd"/>
            <w:r>
              <w:t xml:space="preserve"> </w:t>
            </w:r>
            <w:proofErr w:type="spellStart"/>
            <w:r w:rsidRPr="00222A3B">
              <w:t>kadar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cezası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verebilir</w:t>
            </w:r>
            <w:proofErr w:type="spellEnd"/>
            <w:r w:rsidRPr="00222A3B">
              <w:t>.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/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  <w:r w:rsidRPr="00222A3B">
              <w:t>(3)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  <w:proofErr w:type="spellStart"/>
            <w:r w:rsidRPr="00222A3B">
              <w:t>Mahkemeye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Sayıştaya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mali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denetim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sırasında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ihtiyaç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duyulacak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bilgi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belgeleri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</w:t>
            </w:r>
            <w:r>
              <w:t>ağlayacak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yetkilisi</w:t>
            </w:r>
            <w:proofErr w:type="spellEnd"/>
            <w:r>
              <w:t xml:space="preserve">, her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kongre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222A3B">
              <w:t>ongre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arasındaki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sürede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parti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içerisinde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görev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değişikliği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</w:t>
            </w:r>
            <w:r>
              <w:t>l</w:t>
            </w:r>
            <w:r w:rsidRPr="00222A3B">
              <w:t>ması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halinde</w:t>
            </w:r>
            <w:proofErr w:type="spellEnd"/>
            <w:r w:rsidRPr="00222A3B">
              <w:t xml:space="preserve"> en </w:t>
            </w:r>
            <w:proofErr w:type="spellStart"/>
            <w:r w:rsidRPr="00222A3B">
              <w:t>geç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iki</w:t>
            </w:r>
            <w:proofErr w:type="spellEnd"/>
            <w:r w:rsidRPr="00222A3B">
              <w:t xml:space="preserve"> ay </w:t>
            </w:r>
            <w:proofErr w:type="spellStart"/>
            <w:r w:rsidRPr="00222A3B">
              <w:t>içerisinde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Mahkemeye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bu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maddenin</w:t>
            </w:r>
            <w:proofErr w:type="spellEnd"/>
            <w:r w:rsidRPr="00222A3B">
              <w:t xml:space="preserve"> (1)’</w:t>
            </w:r>
            <w:proofErr w:type="spellStart"/>
            <w:r w:rsidRPr="00222A3B">
              <w:t>inc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fıkrasındaki</w:t>
            </w:r>
            <w:proofErr w:type="spellEnd"/>
            <w:r>
              <w:t xml:space="preserve"> </w:t>
            </w:r>
            <w:proofErr w:type="spellStart"/>
            <w:r>
              <w:t>usulle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 w:rsidRPr="00222A3B">
              <w:t xml:space="preserve">. Bu </w:t>
            </w:r>
            <w:proofErr w:type="spellStart"/>
            <w:r w:rsidRPr="00222A3B">
              <w:t>Yasa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tahtındaki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sorumluluk</w:t>
            </w:r>
            <w:proofErr w:type="spellEnd"/>
            <w:r w:rsidRPr="00222A3B">
              <w:t xml:space="preserve">, her </w:t>
            </w:r>
            <w:proofErr w:type="spellStart"/>
            <w:r w:rsidRPr="00222A3B">
              <w:t>parti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yetkilisinin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kendi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görev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süresi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sınırlıdır</w:t>
            </w:r>
            <w:proofErr w:type="spellEnd"/>
            <w:r w:rsidRPr="00222A3B">
              <w:t>.”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/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roofErr w:type="spellStart"/>
            <w:r w:rsidRPr="00222A3B">
              <w:lastRenderedPageBreak/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Yasaya</w:t>
            </w:r>
            <w:proofErr w:type="spellEnd"/>
            <w:r w:rsidRPr="00222A3B">
              <w:t xml:space="preserve"> 54A </w:t>
            </w:r>
            <w:proofErr w:type="spellStart"/>
            <w:r w:rsidRPr="00222A3B">
              <w:t>Maddesinin</w:t>
            </w:r>
            <w:proofErr w:type="spellEnd"/>
            <w:r w:rsidRPr="00222A3B">
              <w:t xml:space="preserve"> 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  <w:r w:rsidRPr="00222A3B">
              <w:t xml:space="preserve">4. </w:t>
            </w:r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</w:t>
            </w:r>
            <w:proofErr w:type="spellEnd"/>
            <w:r w:rsidRPr="00222A3B">
              <w:t xml:space="preserve">, 54’üncü </w:t>
            </w:r>
            <w:proofErr w:type="spellStart"/>
            <w:r w:rsidRPr="00222A3B">
              <w:t>maddesinden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hemen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sonra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aşağıdaki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yeni</w:t>
            </w:r>
            <w:proofErr w:type="spellEnd"/>
            <w:r w:rsidRPr="00222A3B">
              <w:t xml:space="preserve"> 54A  </w:t>
            </w:r>
            <w:proofErr w:type="spellStart"/>
            <w:r w:rsidRPr="00222A3B">
              <w:t>maddesi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eklenmek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suretiyle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değiştirilir</w:t>
            </w:r>
            <w:proofErr w:type="spellEnd"/>
            <w:r w:rsidRPr="00222A3B">
              <w:t>: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roofErr w:type="spellStart"/>
            <w:r w:rsidRPr="00222A3B">
              <w:t>Eklenmesi</w:t>
            </w:r>
            <w:proofErr w:type="spellEnd"/>
            <w:r w:rsidRPr="00222A3B">
              <w:t xml:space="preserve">  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  <w:r w:rsidRPr="00222A3B">
              <w:t>“</w:t>
            </w:r>
            <w:proofErr w:type="spellStart"/>
            <w:r w:rsidRPr="00222A3B">
              <w:t>Tüzük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Yapma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Yetkisi</w:t>
            </w:r>
            <w:proofErr w:type="spellEnd"/>
          </w:p>
        </w:tc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E2323D">
            <w:pPr>
              <w:jc w:val="both"/>
            </w:pPr>
            <w:r w:rsidRPr="00222A3B">
              <w:t xml:space="preserve">54A. </w:t>
            </w:r>
            <w:proofErr w:type="spellStart"/>
            <w:r w:rsidRPr="00222A3B">
              <w:t>Makbuzların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nasıl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muhafaza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edileceği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sunulacağı</w:t>
            </w:r>
            <w:proofErr w:type="spellEnd"/>
            <w:r w:rsidRPr="00222A3B">
              <w:t xml:space="preserve">; </w:t>
            </w:r>
            <w:proofErr w:type="spellStart"/>
            <w:r w:rsidRPr="00222A3B">
              <w:t>mali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denetim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sırasında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ihtiyaç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duyulan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bilgi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belgelerin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neler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olduğu</w:t>
            </w:r>
            <w:proofErr w:type="spellEnd"/>
            <w:r w:rsidRPr="00222A3B">
              <w:t xml:space="preserve">; </w:t>
            </w:r>
            <w:proofErr w:type="spellStart"/>
            <w:r w:rsidRPr="00222A3B">
              <w:t>kesin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hesapların</w:t>
            </w:r>
            <w:proofErr w:type="spellEnd"/>
            <w:r w:rsidRPr="00222A3B">
              <w:t xml:space="preserve"> (</w:t>
            </w:r>
            <w:proofErr w:type="spellStart"/>
            <w:r w:rsidRPr="00222A3B">
              <w:t>gelir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gider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tablosunun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bilançonun</w:t>
            </w:r>
            <w:proofErr w:type="spellEnd"/>
            <w:r w:rsidRPr="00222A3B">
              <w:t xml:space="preserve">) </w:t>
            </w:r>
            <w:proofErr w:type="spellStart"/>
            <w:r w:rsidRPr="00222A3B">
              <w:t>denetimi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amacıyla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sunulacak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bilgi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belgeler</w:t>
            </w:r>
            <w:proofErr w:type="spellEnd"/>
            <w:r w:rsidRPr="00222A3B">
              <w:t xml:space="preserve">;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bu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Yasanın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Üçüncü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Kısım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Beşinci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Bölümündeki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denetim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inceleme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usulü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bu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amaçla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kullanılacak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matb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formlar</w:t>
            </w:r>
            <w:proofErr w:type="spellEnd"/>
            <w:r>
              <w:t xml:space="preserve">, </w:t>
            </w:r>
            <w:proofErr w:type="spellStart"/>
            <w:r>
              <w:t>Bakanlıkça</w:t>
            </w:r>
            <w:proofErr w:type="spellEnd"/>
            <w:r>
              <w:t xml:space="preserve"> </w:t>
            </w:r>
            <w:proofErr w:type="spellStart"/>
            <w:r>
              <w:t>hazırlanıp</w:t>
            </w:r>
            <w:proofErr w:type="spellEnd"/>
            <w:r>
              <w:t xml:space="preserve">, </w:t>
            </w:r>
            <w:proofErr w:type="spellStart"/>
            <w:r>
              <w:t>Bakanlar</w:t>
            </w:r>
            <w:proofErr w:type="spellEnd"/>
            <w:r>
              <w:t xml:space="preserve"> </w:t>
            </w:r>
            <w:proofErr w:type="spellStart"/>
            <w:r>
              <w:t>Kurulunca</w:t>
            </w:r>
            <w:proofErr w:type="spellEnd"/>
            <w:r>
              <w:t xml:space="preserve"> </w:t>
            </w:r>
            <w:proofErr w:type="spellStart"/>
            <w:r>
              <w:t>onaylanacak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Resmi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Gazete’de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yayımlan</w:t>
            </w:r>
            <w:r>
              <w:t>acak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222A3B">
              <w:t>üzükle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belirlenir</w:t>
            </w:r>
            <w:proofErr w:type="spellEnd"/>
            <w:r w:rsidRPr="00222A3B">
              <w:t>.”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/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E2323D"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Yasaya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Geçici</w:t>
            </w:r>
            <w:proofErr w:type="spellEnd"/>
            <w:r w:rsidRPr="00222A3B">
              <w:t xml:space="preserve"> </w:t>
            </w:r>
            <w:r>
              <w:t>1’inci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E2323D">
            <w:pPr>
              <w:jc w:val="both"/>
            </w:pPr>
            <w:r w:rsidRPr="00222A3B">
              <w:t xml:space="preserve">5. </w:t>
            </w:r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</w:t>
            </w:r>
            <w:proofErr w:type="spellEnd"/>
            <w:r w:rsidRPr="00222A3B">
              <w:t xml:space="preserve">, 69’uncu </w:t>
            </w:r>
            <w:proofErr w:type="spellStart"/>
            <w:r w:rsidRPr="00222A3B">
              <w:t>maddesinden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hemen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sonra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1’inci </w:t>
            </w:r>
            <w:proofErr w:type="spellStart"/>
            <w:r>
              <w:t>M</w:t>
            </w:r>
            <w:r w:rsidRPr="00222A3B">
              <w:t>adde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eklenmek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suretiyle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değiştirilir</w:t>
            </w:r>
            <w:proofErr w:type="spellEnd"/>
            <w:r w:rsidRPr="00222A3B">
              <w:t>: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roofErr w:type="spellStart"/>
            <w:r w:rsidRPr="00222A3B">
              <w:t>Madde</w:t>
            </w:r>
            <w:proofErr w:type="spellEnd"/>
            <w:r w:rsidRPr="00222A3B">
              <w:t xml:space="preserve"> 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roofErr w:type="spellStart"/>
            <w:r w:rsidRPr="00222A3B">
              <w:t>Eklenmesi</w:t>
            </w:r>
            <w:proofErr w:type="spellEnd"/>
            <w:r w:rsidRPr="00222A3B">
              <w:t xml:space="preserve">  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r>
              <w:t>‘‘</w:t>
            </w:r>
            <w:proofErr w:type="spellStart"/>
            <w:r w:rsidRPr="00222A3B">
              <w:t>Geçici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Madde</w:t>
            </w:r>
            <w:proofErr w:type="spellEnd"/>
          </w:p>
          <w:p w:rsidR="00D525F7" w:rsidRPr="00222A3B" w:rsidRDefault="00D525F7" w:rsidP="000746E3">
            <w:r w:rsidRPr="00222A3B">
              <w:t xml:space="preserve">4 </w:t>
            </w:r>
            <w:proofErr w:type="spellStart"/>
            <w:r w:rsidRPr="00222A3B">
              <w:t>Kasım</w:t>
            </w:r>
            <w:proofErr w:type="spellEnd"/>
            <w:r w:rsidRPr="00222A3B">
              <w:t xml:space="preserve"> 2015 </w:t>
            </w:r>
            <w:proofErr w:type="spellStart"/>
            <w:r w:rsidRPr="00222A3B">
              <w:t>Sonrası</w:t>
            </w:r>
            <w:proofErr w:type="spellEnd"/>
            <w:r w:rsidRPr="00222A3B">
              <w:t xml:space="preserve"> İlk Mali </w:t>
            </w:r>
            <w:proofErr w:type="spellStart"/>
            <w:r w:rsidRPr="00222A3B">
              <w:t>Denetimlerde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Makbuzlarda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Yasanın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Uygulanmaması</w:t>
            </w:r>
            <w:proofErr w:type="spellEnd"/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0746E3">
            <w:pPr>
              <w:jc w:val="both"/>
            </w:pPr>
            <w:r w:rsidRPr="00222A3B">
              <w:t xml:space="preserve">1. 4 </w:t>
            </w:r>
            <w:proofErr w:type="spellStart"/>
            <w:r w:rsidRPr="00222A3B">
              <w:t>Kasım</w:t>
            </w:r>
            <w:proofErr w:type="spellEnd"/>
            <w:r w:rsidRPr="00222A3B">
              <w:t xml:space="preserve"> 2015</w:t>
            </w:r>
            <w:r>
              <w:t xml:space="preserve"> </w:t>
            </w:r>
            <w:proofErr w:type="spellStart"/>
            <w:r>
              <w:t>tarihinden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kurulmuş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222A3B">
              <w:t>artilerin</w:t>
            </w:r>
            <w:proofErr w:type="spellEnd"/>
            <w:r w:rsidRPr="00222A3B">
              <w:t xml:space="preserve">, 4 </w:t>
            </w:r>
            <w:proofErr w:type="spellStart"/>
            <w:r w:rsidRPr="00222A3B">
              <w:t>Kasım</w:t>
            </w:r>
            <w:proofErr w:type="spellEnd"/>
            <w:r w:rsidRPr="00222A3B">
              <w:t xml:space="preserve"> 2015 </w:t>
            </w:r>
            <w:proofErr w:type="spellStart"/>
            <w:r w:rsidRPr="00222A3B">
              <w:t>tarihinden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sonra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gerçekleştirdikleri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>
              <w:t>/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tamamladıkları</w:t>
            </w:r>
            <w:proofErr w:type="spellEnd"/>
            <w:r>
              <w:t xml:space="preserve"> ilk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222A3B">
              <w:t>ongrelerine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ilişkin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olarak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geçmiş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dönemi</w:t>
            </w:r>
            <w:proofErr w:type="spellEnd"/>
            <w:r w:rsidRPr="00222A3B">
              <w:t xml:space="preserve"> de </w:t>
            </w:r>
            <w:proofErr w:type="spellStart"/>
            <w:r w:rsidRPr="00222A3B">
              <w:t>kapsayacak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şekilde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yapılacak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olan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Yüksek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Mahkemenin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mali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denetimi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Sayıştayın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incelemesinde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ve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makbuzlara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ilişkin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kurallarda</w:t>
            </w:r>
            <w:proofErr w:type="spellEnd"/>
            <w:r w:rsidRPr="00222A3B">
              <w:t xml:space="preserve"> </w:t>
            </w:r>
            <w:proofErr w:type="spellStart"/>
            <w:r>
              <w:t>bu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kuralları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uygulanmaz</w:t>
            </w:r>
            <w:proofErr w:type="spellEnd"/>
            <w:r w:rsidRPr="00222A3B">
              <w:t>.</w:t>
            </w:r>
            <w:r>
              <w:t>’’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/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/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8F68D0">
            <w:proofErr w:type="spellStart"/>
            <w:r w:rsidRPr="00222A3B">
              <w:t>Esas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Yasaya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Geçici</w:t>
            </w:r>
            <w:proofErr w:type="spellEnd"/>
            <w:r w:rsidRPr="00222A3B">
              <w:t xml:space="preserve"> </w:t>
            </w:r>
            <w:r>
              <w:t>2’inci</w:t>
            </w:r>
            <w:r w:rsidRPr="00222A3B">
              <w:t xml:space="preserve"> </w:t>
            </w:r>
            <w:proofErr w:type="spellStart"/>
            <w:r w:rsidRPr="00222A3B">
              <w:t>Madde</w:t>
            </w:r>
            <w:proofErr w:type="spellEnd"/>
            <w:r w:rsidRPr="00222A3B">
              <w:t xml:space="preserve"> 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8F68D0">
            <w:pPr>
              <w:jc w:val="both"/>
            </w:pPr>
            <w:r>
              <w:t xml:space="preserve">6. </w:t>
            </w:r>
            <w:proofErr w:type="spellStart"/>
            <w:r>
              <w:t>Esas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, </w:t>
            </w:r>
            <w:proofErr w:type="spellStart"/>
            <w:r>
              <w:t>Geçici</w:t>
            </w:r>
            <w:proofErr w:type="spellEnd"/>
            <w:r>
              <w:t xml:space="preserve"> 1’inci </w:t>
            </w:r>
            <w:proofErr w:type="spellStart"/>
            <w:r>
              <w:t>M</w:t>
            </w:r>
            <w:r w:rsidRPr="00222A3B">
              <w:t>addesinden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hemen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sonra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aşağıdaki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yeni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Geçici</w:t>
            </w:r>
            <w:proofErr w:type="spellEnd"/>
            <w:r w:rsidRPr="00222A3B">
              <w:t xml:space="preserve"> </w:t>
            </w:r>
            <w:r>
              <w:t xml:space="preserve">2’nci </w:t>
            </w:r>
            <w:proofErr w:type="spellStart"/>
            <w:r>
              <w:t>M</w:t>
            </w:r>
            <w:r w:rsidRPr="00222A3B">
              <w:t>adde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eklenmek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suretiyle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değiştirilir</w:t>
            </w:r>
            <w:proofErr w:type="spellEnd"/>
            <w:r w:rsidRPr="00222A3B">
              <w:t>: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roofErr w:type="spellStart"/>
            <w:r w:rsidRPr="00222A3B">
              <w:t>Eklenmesi</w:t>
            </w:r>
            <w:proofErr w:type="spellEnd"/>
            <w:r w:rsidRPr="00222A3B">
              <w:t xml:space="preserve">  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r w:rsidRPr="00222A3B">
              <w:t>“</w:t>
            </w:r>
            <w:proofErr w:type="spellStart"/>
            <w:r w:rsidRPr="00222A3B">
              <w:t>Geçici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Madde</w:t>
            </w:r>
            <w:proofErr w:type="spellEnd"/>
          </w:p>
          <w:p w:rsidR="00D525F7" w:rsidRPr="00222A3B" w:rsidRDefault="00D525F7" w:rsidP="00222A3B">
            <w:proofErr w:type="spellStart"/>
            <w:r w:rsidRPr="00222A3B">
              <w:t>Tüzüğün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Altı</w:t>
            </w:r>
            <w:proofErr w:type="spellEnd"/>
            <w:r w:rsidRPr="00222A3B">
              <w:t xml:space="preserve"> Ay </w:t>
            </w:r>
            <w:proofErr w:type="spellStart"/>
            <w:r w:rsidRPr="00222A3B">
              <w:t>İçinde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Çıkarılması</w:t>
            </w:r>
            <w:proofErr w:type="spellEnd"/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B026C7">
            <w:pPr>
              <w:jc w:val="both"/>
            </w:pPr>
            <w:r w:rsidRPr="00222A3B">
              <w:t>2.</w:t>
            </w:r>
            <w:r>
              <w:t xml:space="preserve"> </w:t>
            </w:r>
            <w:r w:rsidRPr="00222A3B">
              <w:t xml:space="preserve">54A </w:t>
            </w:r>
            <w:proofErr w:type="spellStart"/>
            <w:r w:rsidRPr="00222A3B">
              <w:t>maddesi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uyarınca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hazırlanacak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olan</w:t>
            </w:r>
            <w:proofErr w:type="spellEnd"/>
            <w:r w:rsidRPr="00222A3B">
              <w:t xml:space="preserve"> </w:t>
            </w:r>
            <w:proofErr w:type="spellStart"/>
            <w:r>
              <w:t>t</w:t>
            </w:r>
            <w:r w:rsidRPr="00222A3B">
              <w:t>üzük</w:t>
            </w:r>
            <w:proofErr w:type="spellEnd"/>
            <w:r w:rsidRPr="00222A3B">
              <w:t xml:space="preserve">, </w:t>
            </w:r>
            <w:proofErr w:type="spellStart"/>
            <w:r w:rsidRPr="00222A3B">
              <w:t>bu</w:t>
            </w:r>
            <w:proofErr w:type="spellEnd"/>
            <w:r w:rsidRPr="00222A3B">
              <w:t xml:space="preserve"> (</w:t>
            </w:r>
            <w:proofErr w:type="spellStart"/>
            <w:r w:rsidRPr="00222A3B">
              <w:t>Değişiklik</w:t>
            </w:r>
            <w:proofErr w:type="spellEnd"/>
            <w:r w:rsidRPr="00222A3B">
              <w:t xml:space="preserve">) </w:t>
            </w:r>
            <w:proofErr w:type="spellStart"/>
            <w:r w:rsidRPr="00222A3B">
              <w:t>Yasasının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yürürlüğe</w:t>
            </w:r>
            <w:proofErr w:type="spellEnd"/>
            <w:r w:rsidRPr="00222A3B">
              <w:t xml:space="preserve"> </w:t>
            </w:r>
            <w:proofErr w:type="spellStart"/>
            <w:r>
              <w:t>girdiği</w:t>
            </w:r>
            <w:proofErr w:type="spellEnd"/>
            <w:r>
              <w:t xml:space="preserve"> </w:t>
            </w:r>
            <w:proofErr w:type="spellStart"/>
            <w:r>
              <w:t>tarihten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itibaren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altı</w:t>
            </w:r>
            <w:proofErr w:type="spellEnd"/>
            <w:r w:rsidRPr="00222A3B">
              <w:t xml:space="preserve"> ay </w:t>
            </w:r>
            <w:proofErr w:type="spellStart"/>
            <w:r w:rsidRPr="00222A3B">
              <w:t>içerisinde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yürürlüğe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girer</w:t>
            </w:r>
            <w:proofErr w:type="spellEnd"/>
            <w:r w:rsidRPr="00222A3B">
              <w:t>.”</w:t>
            </w:r>
          </w:p>
        </w:tc>
      </w:tr>
      <w:tr w:rsidR="00D525F7" w:rsidRPr="00222A3B" w:rsidTr="00222A3B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/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/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</w:p>
        </w:tc>
      </w:tr>
      <w:tr w:rsidR="00D525F7" w:rsidRPr="00222A3B" w:rsidTr="00EF6096">
        <w:trPr>
          <w:gridAfter w:val="1"/>
          <w:wAfter w:w="55" w:type="dxa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roofErr w:type="spellStart"/>
            <w:r w:rsidRPr="00222A3B">
              <w:t>Yürürlüğe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Giriş</w:t>
            </w:r>
            <w:proofErr w:type="spellEnd"/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5F7" w:rsidRPr="00222A3B" w:rsidRDefault="00D525F7" w:rsidP="00222A3B">
            <w:pPr>
              <w:jc w:val="both"/>
            </w:pPr>
            <w:r w:rsidRPr="00222A3B">
              <w:t xml:space="preserve">7. Bu </w:t>
            </w:r>
            <w:proofErr w:type="spellStart"/>
            <w:r w:rsidRPr="00222A3B">
              <w:t>Yasa</w:t>
            </w:r>
            <w:proofErr w:type="spellEnd"/>
            <w:r>
              <w:t>,</w:t>
            </w:r>
            <w:r w:rsidRPr="00222A3B">
              <w:t xml:space="preserve"> </w:t>
            </w:r>
            <w:proofErr w:type="spellStart"/>
            <w:r w:rsidRPr="00222A3B">
              <w:t>Resmi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Gazete'de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yayımlandığı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tarihten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başlayarak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yürürlüğe</w:t>
            </w:r>
            <w:proofErr w:type="spellEnd"/>
            <w:r w:rsidRPr="00222A3B">
              <w:t xml:space="preserve"> </w:t>
            </w:r>
            <w:proofErr w:type="spellStart"/>
            <w:r w:rsidRPr="00222A3B">
              <w:t>girer</w:t>
            </w:r>
            <w:proofErr w:type="spellEnd"/>
            <w:r w:rsidRPr="00222A3B">
              <w:t>.</w:t>
            </w:r>
          </w:p>
        </w:tc>
      </w:tr>
    </w:tbl>
    <w:p w:rsidR="00C80F03" w:rsidRPr="00222A3B" w:rsidRDefault="00C80F03" w:rsidP="00222A3B"/>
    <w:sectPr w:rsidR="00C80F03" w:rsidRPr="0022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AC"/>
    <w:rsid w:val="00064214"/>
    <w:rsid w:val="000746E3"/>
    <w:rsid w:val="000A194D"/>
    <w:rsid w:val="000B4478"/>
    <w:rsid w:val="000C0223"/>
    <w:rsid w:val="00102145"/>
    <w:rsid w:val="00113000"/>
    <w:rsid w:val="00116E73"/>
    <w:rsid w:val="001243F7"/>
    <w:rsid w:val="0019488D"/>
    <w:rsid w:val="001B3F74"/>
    <w:rsid w:val="001B791A"/>
    <w:rsid w:val="001C33BC"/>
    <w:rsid w:val="001E6E81"/>
    <w:rsid w:val="001F3EE1"/>
    <w:rsid w:val="001F732C"/>
    <w:rsid w:val="002125E0"/>
    <w:rsid w:val="00222A3B"/>
    <w:rsid w:val="00225C8B"/>
    <w:rsid w:val="0023382E"/>
    <w:rsid w:val="00242BC0"/>
    <w:rsid w:val="002630F0"/>
    <w:rsid w:val="002A1289"/>
    <w:rsid w:val="002B5D4B"/>
    <w:rsid w:val="002B7A8C"/>
    <w:rsid w:val="002C272A"/>
    <w:rsid w:val="002C4240"/>
    <w:rsid w:val="002E4C2F"/>
    <w:rsid w:val="002E50D6"/>
    <w:rsid w:val="00307E11"/>
    <w:rsid w:val="003732BB"/>
    <w:rsid w:val="00385753"/>
    <w:rsid w:val="00393BA7"/>
    <w:rsid w:val="003A5B5D"/>
    <w:rsid w:val="003B21BB"/>
    <w:rsid w:val="00402E4D"/>
    <w:rsid w:val="004059E4"/>
    <w:rsid w:val="004450CE"/>
    <w:rsid w:val="004519EA"/>
    <w:rsid w:val="00475070"/>
    <w:rsid w:val="00493196"/>
    <w:rsid w:val="004E3C8D"/>
    <w:rsid w:val="005073E9"/>
    <w:rsid w:val="00522038"/>
    <w:rsid w:val="00557AF4"/>
    <w:rsid w:val="0056448C"/>
    <w:rsid w:val="00587BD9"/>
    <w:rsid w:val="00592401"/>
    <w:rsid w:val="005A40AA"/>
    <w:rsid w:val="005A67E6"/>
    <w:rsid w:val="005D76DA"/>
    <w:rsid w:val="005F2856"/>
    <w:rsid w:val="00607F2C"/>
    <w:rsid w:val="0064698D"/>
    <w:rsid w:val="00651955"/>
    <w:rsid w:val="00674D75"/>
    <w:rsid w:val="006807DF"/>
    <w:rsid w:val="006B6169"/>
    <w:rsid w:val="006C3E70"/>
    <w:rsid w:val="006C686A"/>
    <w:rsid w:val="006C7C34"/>
    <w:rsid w:val="006E0D5E"/>
    <w:rsid w:val="00714631"/>
    <w:rsid w:val="0071757B"/>
    <w:rsid w:val="007342A5"/>
    <w:rsid w:val="007351E5"/>
    <w:rsid w:val="007479AC"/>
    <w:rsid w:val="007642CA"/>
    <w:rsid w:val="007A5F8F"/>
    <w:rsid w:val="007F257B"/>
    <w:rsid w:val="007F6247"/>
    <w:rsid w:val="008043C9"/>
    <w:rsid w:val="00822C32"/>
    <w:rsid w:val="008370BE"/>
    <w:rsid w:val="00844D3F"/>
    <w:rsid w:val="008651DE"/>
    <w:rsid w:val="0086566F"/>
    <w:rsid w:val="008835AA"/>
    <w:rsid w:val="008B2552"/>
    <w:rsid w:val="008F68D0"/>
    <w:rsid w:val="00911826"/>
    <w:rsid w:val="00927C8F"/>
    <w:rsid w:val="00936E74"/>
    <w:rsid w:val="00954BC2"/>
    <w:rsid w:val="00964333"/>
    <w:rsid w:val="009D1511"/>
    <w:rsid w:val="009D2230"/>
    <w:rsid w:val="00A01C4C"/>
    <w:rsid w:val="00A022C7"/>
    <w:rsid w:val="00A031FA"/>
    <w:rsid w:val="00A03D24"/>
    <w:rsid w:val="00A2693D"/>
    <w:rsid w:val="00A66615"/>
    <w:rsid w:val="00A830D1"/>
    <w:rsid w:val="00A90742"/>
    <w:rsid w:val="00A92990"/>
    <w:rsid w:val="00A94CD6"/>
    <w:rsid w:val="00AA6CBB"/>
    <w:rsid w:val="00AC730C"/>
    <w:rsid w:val="00AD6D43"/>
    <w:rsid w:val="00AE324E"/>
    <w:rsid w:val="00B00329"/>
    <w:rsid w:val="00B026C7"/>
    <w:rsid w:val="00B06699"/>
    <w:rsid w:val="00B17145"/>
    <w:rsid w:val="00B35B00"/>
    <w:rsid w:val="00B44502"/>
    <w:rsid w:val="00B86690"/>
    <w:rsid w:val="00BB2EA8"/>
    <w:rsid w:val="00BB6DBF"/>
    <w:rsid w:val="00BF3371"/>
    <w:rsid w:val="00C16660"/>
    <w:rsid w:val="00C31D40"/>
    <w:rsid w:val="00C554EF"/>
    <w:rsid w:val="00C67842"/>
    <w:rsid w:val="00C80F03"/>
    <w:rsid w:val="00C82E99"/>
    <w:rsid w:val="00CB1DD5"/>
    <w:rsid w:val="00CB420E"/>
    <w:rsid w:val="00CC2CC8"/>
    <w:rsid w:val="00CD6EEE"/>
    <w:rsid w:val="00CF67B9"/>
    <w:rsid w:val="00D00125"/>
    <w:rsid w:val="00D12C27"/>
    <w:rsid w:val="00D525F7"/>
    <w:rsid w:val="00D551B4"/>
    <w:rsid w:val="00D768D6"/>
    <w:rsid w:val="00D8028A"/>
    <w:rsid w:val="00DA6398"/>
    <w:rsid w:val="00DD1728"/>
    <w:rsid w:val="00DF4734"/>
    <w:rsid w:val="00DF6E81"/>
    <w:rsid w:val="00E04BD5"/>
    <w:rsid w:val="00E21813"/>
    <w:rsid w:val="00E2323D"/>
    <w:rsid w:val="00E27F88"/>
    <w:rsid w:val="00E32437"/>
    <w:rsid w:val="00EA23E1"/>
    <w:rsid w:val="00EA5C29"/>
    <w:rsid w:val="00EC4326"/>
    <w:rsid w:val="00ED33E5"/>
    <w:rsid w:val="00EF4BA7"/>
    <w:rsid w:val="00EF5EA7"/>
    <w:rsid w:val="00F075BE"/>
    <w:rsid w:val="00F16D04"/>
    <w:rsid w:val="00F433A5"/>
    <w:rsid w:val="00F4416E"/>
    <w:rsid w:val="00F55C32"/>
    <w:rsid w:val="00F85476"/>
    <w:rsid w:val="00FA6ED6"/>
    <w:rsid w:val="00FD57DD"/>
    <w:rsid w:val="00FE6DB8"/>
    <w:rsid w:val="00FF1AFA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B4478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0B4478"/>
    <w:rPr>
      <w:rFonts w:ascii="Times New Roman" w:eastAsia="Times New Roman" w:hAnsi="Times New Roman" w:cs="Times New Roman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0B447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5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B4478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0B4478"/>
    <w:rPr>
      <w:rFonts w:ascii="Times New Roman" w:eastAsia="Times New Roman" w:hAnsi="Times New Roman" w:cs="Times New Roman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0B447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nazen sansal</dc:creator>
  <cp:lastModifiedBy>Hayriye İnatcı</cp:lastModifiedBy>
  <cp:revision>6</cp:revision>
  <cp:lastPrinted>2023-05-29T17:07:00Z</cp:lastPrinted>
  <dcterms:created xsi:type="dcterms:W3CDTF">2023-06-02T06:32:00Z</dcterms:created>
  <dcterms:modified xsi:type="dcterms:W3CDTF">2023-06-02T06:53:00Z</dcterms:modified>
</cp:coreProperties>
</file>