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"/>
        <w:gridCol w:w="558"/>
        <w:gridCol w:w="284"/>
        <w:gridCol w:w="283"/>
        <w:gridCol w:w="426"/>
        <w:gridCol w:w="283"/>
        <w:gridCol w:w="5636"/>
      </w:tblGrid>
      <w:tr w:rsidR="001060F4" w:rsidRPr="001060F4" w:rsidTr="005F67B5">
        <w:tc>
          <w:tcPr>
            <w:tcW w:w="9288" w:type="dxa"/>
            <w:gridSpan w:val="8"/>
          </w:tcPr>
          <w:p w:rsidR="001060F4" w:rsidRPr="007D116C" w:rsidRDefault="007D116C" w:rsidP="007D11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Kuzey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Kıbrıs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Türk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Cumhuriyeti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Cumhuriyet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Meclisi'nin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tarihli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Altmışü</w:t>
            </w:r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çüncü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Birleşiminde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Oybirliğiyle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olunan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İdare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Mahkemesi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Yetki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Değişiklik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Yasası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Anayasanın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94'üncü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maddesinin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(l)'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inci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fıkrası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gereğince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Kuzey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Kıbrıs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Türk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Cumhuriyeti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Cumhurbaşkanı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Gazete'de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yayımlanmak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suretiyle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ilan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olunur</w:t>
            </w:r>
            <w:proofErr w:type="spellEnd"/>
            <w:r w:rsidRPr="007D1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16C" w:rsidRPr="001060F4" w:rsidTr="005F67B5">
        <w:tc>
          <w:tcPr>
            <w:tcW w:w="9288" w:type="dxa"/>
            <w:gridSpan w:val="8"/>
          </w:tcPr>
          <w:p w:rsidR="006165FC" w:rsidRDefault="006165FC" w:rsidP="0061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50/2024</w:t>
            </w:r>
          </w:p>
          <w:p w:rsidR="007D116C" w:rsidRPr="001060F4" w:rsidRDefault="007D116C" w:rsidP="005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16C" w:rsidRPr="001060F4" w:rsidTr="005F67B5">
        <w:tc>
          <w:tcPr>
            <w:tcW w:w="9288" w:type="dxa"/>
            <w:gridSpan w:val="8"/>
          </w:tcPr>
          <w:p w:rsidR="007D116C" w:rsidRPr="001060F4" w:rsidRDefault="007D116C" w:rsidP="007D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YÜKSEK İDARE MAHKEMESİ YETKİ (DEĞİŞİKLİK) YASA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:rsidR="007D116C" w:rsidRPr="001060F4" w:rsidRDefault="007D116C" w:rsidP="005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16C" w:rsidRPr="001060F4" w:rsidTr="005F67B5">
        <w:tc>
          <w:tcPr>
            <w:tcW w:w="9288" w:type="dxa"/>
            <w:gridSpan w:val="8"/>
          </w:tcPr>
          <w:p w:rsidR="007D116C" w:rsidRPr="001060F4" w:rsidRDefault="007D116C" w:rsidP="0061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60F4" w:rsidRPr="001060F4" w:rsidTr="005F67B5">
        <w:tc>
          <w:tcPr>
            <w:tcW w:w="1818" w:type="dxa"/>
            <w:gridSpan w:val="2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7470" w:type="dxa"/>
            <w:gridSpan w:val="6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Kuzey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Kıbrıs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Türk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Cumhuriyeti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Cumhuriyet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Meclisi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aşağıdaki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Yasayı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yapar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0F4" w:rsidRPr="001060F4" w:rsidTr="005F67B5">
        <w:tc>
          <w:tcPr>
            <w:tcW w:w="1809" w:type="dxa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Kısa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İsim</w:t>
            </w:r>
            <w:proofErr w:type="spellEnd"/>
          </w:p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60/1990</w:t>
            </w:r>
          </w:p>
        </w:tc>
        <w:tc>
          <w:tcPr>
            <w:tcW w:w="7479" w:type="dxa"/>
            <w:gridSpan w:val="7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1. Bu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Yasa</w:t>
            </w:r>
            <w:proofErr w:type="spellEnd"/>
            <w:r w:rsidR="00783C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İdare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Mahkemesi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Yetki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Değişiklik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Yasası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isimlendirilir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aşağıda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Esas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Yasa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anılan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İdare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Mahkemesi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Yetki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Yasası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birlikte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okunur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0F4" w:rsidRPr="001060F4" w:rsidTr="005F67B5">
        <w:tc>
          <w:tcPr>
            <w:tcW w:w="1809" w:type="dxa"/>
          </w:tcPr>
          <w:p w:rsidR="001060F4" w:rsidRPr="001060F4" w:rsidRDefault="001060F4" w:rsidP="005F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Esas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Yasanın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2’nci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3’üncü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Maddelerine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Bağlı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Cetvelin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Değiştirilmesi</w:t>
            </w:r>
            <w:proofErr w:type="spellEnd"/>
          </w:p>
        </w:tc>
        <w:tc>
          <w:tcPr>
            <w:tcW w:w="7479" w:type="dxa"/>
            <w:gridSpan w:val="7"/>
          </w:tcPr>
          <w:p w:rsidR="001060F4" w:rsidRPr="001060F4" w:rsidRDefault="001060F4" w:rsidP="0078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Esas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Yasa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, 2’nci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3’üncü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maddelerine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bağlı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Cetvel</w:t>
            </w:r>
            <w:r w:rsidR="00783C9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(5)’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inci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C9C">
              <w:rPr>
                <w:rFonts w:ascii="Times New Roman" w:hAnsi="Times New Roman" w:cs="Times New Roman"/>
                <w:sz w:val="24"/>
                <w:szCs w:val="24"/>
              </w:rPr>
              <w:t>fıkradan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hemen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sonra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Cetvele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sırasıyla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aşağıdaki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yeni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(6)’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ncı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, (7)’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nci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, (8)’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inci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, (9)’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uncu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, (10)’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uncu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, (11)’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inci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(12)’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nci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C9C">
              <w:rPr>
                <w:rFonts w:ascii="Times New Roman" w:hAnsi="Times New Roman" w:cs="Times New Roman"/>
                <w:sz w:val="24"/>
                <w:szCs w:val="24"/>
              </w:rPr>
              <w:t>fıkra</w:t>
            </w: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eklenmek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mevcut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(6)’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ncı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C9C">
              <w:rPr>
                <w:rFonts w:ascii="Times New Roman" w:hAnsi="Times New Roman" w:cs="Times New Roman"/>
                <w:sz w:val="24"/>
                <w:szCs w:val="24"/>
              </w:rPr>
              <w:t>fıkra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="00EA3506">
              <w:rPr>
                <w:rFonts w:ascii="Times New Roman" w:hAnsi="Times New Roman" w:cs="Times New Roman"/>
                <w:sz w:val="24"/>
                <w:szCs w:val="24"/>
              </w:rPr>
              <w:t>yeni</w:t>
            </w:r>
            <w:proofErr w:type="spellEnd"/>
            <w:r w:rsidR="00EA3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(13)’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üncü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C9C">
              <w:rPr>
                <w:rFonts w:ascii="Times New Roman" w:hAnsi="Times New Roman" w:cs="Times New Roman"/>
                <w:sz w:val="24"/>
                <w:szCs w:val="24"/>
              </w:rPr>
              <w:t>fıkra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yeniden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sayılandırılmak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suretiyle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değiştirilir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060F4" w:rsidRPr="001060F4" w:rsidTr="005F67B5">
        <w:tc>
          <w:tcPr>
            <w:tcW w:w="1809" w:type="dxa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7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0F4" w:rsidRPr="001060F4" w:rsidTr="005F67B5">
        <w:tc>
          <w:tcPr>
            <w:tcW w:w="1809" w:type="dxa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1060F4" w:rsidRPr="001060F4" w:rsidRDefault="001060F4" w:rsidP="005F67B5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41/2001</w:t>
            </w:r>
          </w:p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  8/2017</w:t>
            </w:r>
          </w:p>
        </w:tc>
        <w:tc>
          <w:tcPr>
            <w:tcW w:w="709" w:type="dxa"/>
            <w:gridSpan w:val="2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“(6)</w:t>
            </w:r>
          </w:p>
        </w:tc>
        <w:tc>
          <w:tcPr>
            <w:tcW w:w="5636" w:type="dxa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Kuzey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Kıbrıs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Türk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Cumhuriyeti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Bankası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Yasası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uyarınca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oluşturulmuş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Kuzey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Kıbrıs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Türk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Cumhuriyeti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Bankasının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işlem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kararları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60F4" w:rsidRPr="001060F4" w:rsidTr="005F67B5">
        <w:tc>
          <w:tcPr>
            <w:tcW w:w="2943" w:type="dxa"/>
            <w:gridSpan w:val="5"/>
          </w:tcPr>
          <w:p w:rsidR="001060F4" w:rsidRPr="001060F4" w:rsidRDefault="001060F4" w:rsidP="005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29/1976</w:t>
            </w:r>
          </w:p>
          <w:p w:rsidR="001060F4" w:rsidRPr="001060F4" w:rsidRDefault="001060F4" w:rsidP="005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060F4" w:rsidRPr="001060F4" w:rsidRDefault="001060F4" w:rsidP="005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5636" w:type="dxa"/>
          </w:tcPr>
          <w:p w:rsidR="001060F4" w:rsidRPr="001060F4" w:rsidRDefault="00814FE7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1976 </w:t>
            </w:r>
            <w:proofErr w:type="spellStart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>Güvenlik</w:t>
            </w:r>
            <w:proofErr w:type="spellEnd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>Kuvvetlerinin</w:t>
            </w:r>
            <w:proofErr w:type="spellEnd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>Kuruluş</w:t>
            </w:r>
            <w:proofErr w:type="spellEnd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proofErr w:type="spellEnd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>Yetkileri</w:t>
            </w:r>
            <w:proofErr w:type="spellEnd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>Yasası</w:t>
            </w:r>
            <w:proofErr w:type="spellEnd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>uyarınca</w:t>
            </w:r>
            <w:proofErr w:type="spellEnd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>oluşturulmuş</w:t>
            </w:r>
            <w:proofErr w:type="spellEnd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>Güvenlik</w:t>
            </w:r>
            <w:proofErr w:type="spellEnd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>Kuvvetleri</w:t>
            </w:r>
            <w:proofErr w:type="spellEnd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>Komutanlığının</w:t>
            </w:r>
            <w:proofErr w:type="spellEnd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>işlem</w:t>
            </w:r>
            <w:proofErr w:type="spellEnd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>kararları</w:t>
            </w:r>
            <w:proofErr w:type="spellEnd"/>
            <w:r w:rsidR="001060F4" w:rsidRPr="0010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60F4" w:rsidRPr="001060F4" w:rsidTr="005F67B5">
        <w:tc>
          <w:tcPr>
            <w:tcW w:w="2943" w:type="dxa"/>
            <w:gridSpan w:val="5"/>
          </w:tcPr>
          <w:p w:rsidR="001060F4" w:rsidRPr="001060F4" w:rsidRDefault="001060F4" w:rsidP="005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51/1984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27/1985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27/1988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32/1988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  6/1990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53/1990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76/1991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56/1995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36/1996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  9/1997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21/2001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26/2002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47/2002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13/2003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57/2003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19/2005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50/2005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lastRenderedPageBreak/>
              <w:t xml:space="preserve">                               46/2006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55/2008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70/2009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87/2009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36/2011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38/2011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14/2012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  1/2013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  2/2013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38/2014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68/2017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  2/2020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31/2022</w:t>
            </w:r>
          </w:p>
          <w:p w:rsidR="001060F4" w:rsidRPr="001060F4" w:rsidRDefault="001060F4" w:rsidP="005F6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11/2024</w:t>
            </w:r>
          </w:p>
          <w:p w:rsidR="001060F4" w:rsidRPr="001060F4" w:rsidRDefault="001060F4" w:rsidP="005F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                 27/2024</w:t>
            </w:r>
          </w:p>
        </w:tc>
        <w:tc>
          <w:tcPr>
            <w:tcW w:w="709" w:type="dxa"/>
            <w:gridSpan w:val="2"/>
          </w:tcPr>
          <w:p w:rsidR="001060F4" w:rsidRPr="001060F4" w:rsidRDefault="001060F4" w:rsidP="005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(8)</w:t>
            </w:r>
          </w:p>
        </w:tc>
        <w:tc>
          <w:tcPr>
            <w:tcW w:w="5636" w:type="dxa"/>
          </w:tcPr>
          <w:p w:rsidR="001060F4" w:rsidRPr="001060F4" w:rsidRDefault="001060F4" w:rsidP="0025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Polis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Örgütü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Kuruluş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Yetkileri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Yasası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uyarınca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oluşturulmuş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Polis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Örgütü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Polis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Genel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Müdürlüğünün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yine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anılan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Yasa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uyarınca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oluşturulmuş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465">
              <w:rPr>
                <w:rFonts w:ascii="Times New Roman" w:hAnsi="Times New Roman" w:cs="Times New Roman"/>
                <w:sz w:val="24"/>
                <w:szCs w:val="24"/>
              </w:rPr>
              <w:t>Konsey</w:t>
            </w:r>
            <w:proofErr w:type="spellEnd"/>
            <w:r w:rsidR="0025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465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="0025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46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urul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46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omisyonların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işlem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kararları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60F4" w:rsidRPr="001060F4" w:rsidTr="005F67B5">
        <w:tc>
          <w:tcPr>
            <w:tcW w:w="2943" w:type="dxa"/>
            <w:gridSpan w:val="5"/>
          </w:tcPr>
          <w:p w:rsidR="001060F4" w:rsidRPr="001060F4" w:rsidRDefault="001060F4" w:rsidP="005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36/2009</w:t>
            </w:r>
          </w:p>
          <w:p w:rsidR="001060F4" w:rsidRPr="001060F4" w:rsidRDefault="001060F4" w:rsidP="005F6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42/2010</w:t>
            </w:r>
          </w:p>
          <w:p w:rsidR="001060F4" w:rsidRPr="001060F4" w:rsidRDefault="001060F4" w:rsidP="005F6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3/2012</w:t>
            </w:r>
          </w:p>
          <w:p w:rsidR="001060F4" w:rsidRPr="001060F4" w:rsidRDefault="001060F4" w:rsidP="005F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12/2023</w:t>
            </w:r>
          </w:p>
        </w:tc>
        <w:tc>
          <w:tcPr>
            <w:tcW w:w="709" w:type="dxa"/>
            <w:gridSpan w:val="2"/>
          </w:tcPr>
          <w:p w:rsidR="001060F4" w:rsidRPr="001060F4" w:rsidRDefault="001060F4" w:rsidP="005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5636" w:type="dxa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Rekabet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Yasası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uyarınca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oluşturulmuş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Rekabet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Kurulunun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işlem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kararları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60F4" w:rsidRPr="001060F4" w:rsidTr="005F67B5">
        <w:tc>
          <w:tcPr>
            <w:tcW w:w="2943" w:type="dxa"/>
            <w:gridSpan w:val="5"/>
          </w:tcPr>
          <w:p w:rsidR="001060F4" w:rsidRPr="001060F4" w:rsidRDefault="001060F4" w:rsidP="005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6/2012</w:t>
            </w:r>
          </w:p>
          <w:p w:rsidR="001060F4" w:rsidRPr="001060F4" w:rsidRDefault="001060F4" w:rsidP="005F6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21/2014</w:t>
            </w:r>
          </w:p>
          <w:p w:rsidR="001060F4" w:rsidRPr="001060F4" w:rsidRDefault="001060F4" w:rsidP="005F6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39/2016</w:t>
            </w:r>
          </w:p>
          <w:p w:rsidR="001060F4" w:rsidRPr="001060F4" w:rsidRDefault="001060F4" w:rsidP="005F6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27/2019</w:t>
            </w:r>
          </w:p>
          <w:p w:rsidR="001060F4" w:rsidRPr="001060F4" w:rsidRDefault="001060F4" w:rsidP="005F6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31/2019</w:t>
            </w:r>
          </w:p>
          <w:p w:rsidR="001060F4" w:rsidRPr="001060F4" w:rsidRDefault="001060F4" w:rsidP="005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11/2022</w:t>
            </w:r>
          </w:p>
        </w:tc>
        <w:tc>
          <w:tcPr>
            <w:tcW w:w="709" w:type="dxa"/>
            <w:gridSpan w:val="2"/>
          </w:tcPr>
          <w:p w:rsidR="001060F4" w:rsidRPr="001060F4" w:rsidRDefault="001060F4" w:rsidP="005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5636" w:type="dxa"/>
          </w:tcPr>
          <w:p w:rsidR="001060F4" w:rsidRPr="001060F4" w:rsidRDefault="001060F4" w:rsidP="0078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Haberleşme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Yasası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uyarınca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oluşturulmuş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Bilgi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Teknolojileri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Haberleşme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r w:rsidR="00783C9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="0078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C9C">
              <w:rPr>
                <w:rFonts w:ascii="Times New Roman" w:hAnsi="Times New Roman" w:cs="Times New Roman"/>
                <w:sz w:val="24"/>
                <w:szCs w:val="24"/>
              </w:rPr>
              <w:t>Bilgi</w:t>
            </w:r>
            <w:proofErr w:type="spellEnd"/>
            <w:r w:rsidR="0078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C9C">
              <w:rPr>
                <w:rFonts w:ascii="Times New Roman" w:hAnsi="Times New Roman" w:cs="Times New Roman"/>
                <w:sz w:val="24"/>
                <w:szCs w:val="24"/>
              </w:rPr>
              <w:t>Teknolojileri</w:t>
            </w:r>
            <w:proofErr w:type="spellEnd"/>
            <w:r w:rsidR="0078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C9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78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C9C">
              <w:rPr>
                <w:rFonts w:ascii="Times New Roman" w:hAnsi="Times New Roman" w:cs="Times New Roman"/>
                <w:sz w:val="24"/>
                <w:szCs w:val="24"/>
              </w:rPr>
              <w:t>Haberleşme</w:t>
            </w:r>
            <w:proofErr w:type="spellEnd"/>
            <w:r w:rsidR="0078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C9C">
              <w:rPr>
                <w:rFonts w:ascii="Times New Roman" w:hAnsi="Times New Roman" w:cs="Times New Roman"/>
                <w:sz w:val="24"/>
                <w:szCs w:val="24"/>
              </w:rPr>
              <w:t>Kurumunun</w:t>
            </w:r>
            <w:proofErr w:type="spellEnd"/>
            <w:r w:rsidR="0078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C9C">
              <w:rPr>
                <w:rFonts w:ascii="Times New Roman" w:hAnsi="Times New Roman" w:cs="Times New Roman"/>
                <w:sz w:val="24"/>
                <w:szCs w:val="24"/>
              </w:rPr>
              <w:t>Yönetim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Kurulunun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işlem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kararları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60F4" w:rsidRPr="001060F4" w:rsidTr="005F67B5">
        <w:tc>
          <w:tcPr>
            <w:tcW w:w="2943" w:type="dxa"/>
            <w:gridSpan w:val="5"/>
          </w:tcPr>
          <w:p w:rsidR="001060F4" w:rsidRPr="001060F4" w:rsidRDefault="001060F4" w:rsidP="005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65/2005</w:t>
            </w:r>
          </w:p>
          <w:p w:rsidR="001060F4" w:rsidRPr="001060F4" w:rsidRDefault="001060F4" w:rsidP="005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21/2008</w:t>
            </w:r>
          </w:p>
          <w:p w:rsidR="001060F4" w:rsidRPr="001060F4" w:rsidRDefault="001060F4" w:rsidP="005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40/2009</w:t>
            </w:r>
          </w:p>
          <w:p w:rsidR="001060F4" w:rsidRPr="001060F4" w:rsidRDefault="001060F4" w:rsidP="005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23/2017</w:t>
            </w:r>
          </w:p>
        </w:tc>
        <w:tc>
          <w:tcPr>
            <w:tcW w:w="709" w:type="dxa"/>
            <w:gridSpan w:val="2"/>
          </w:tcPr>
          <w:p w:rsidR="001060F4" w:rsidRPr="001060F4" w:rsidRDefault="001060F4" w:rsidP="005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5636" w:type="dxa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Kuzey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Kıbrıs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Türk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Cumhuriyeti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Yasası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uyarınca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oluşturulmuş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Planlama</w:t>
            </w:r>
            <w:proofErr w:type="spellEnd"/>
            <w:r w:rsidR="00783C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Denetleme</w:t>
            </w:r>
            <w:proofErr w:type="spellEnd"/>
            <w:r w:rsidR="00783C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Akreditasyon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Koordinasyon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Kurulunun</w:t>
            </w:r>
            <w:proofErr w:type="spellEnd"/>
            <w:r w:rsidR="00783C9C">
              <w:rPr>
                <w:rFonts w:ascii="Times New Roman" w:hAnsi="Times New Roman" w:cs="Times New Roman"/>
                <w:sz w:val="24"/>
                <w:szCs w:val="24"/>
              </w:rPr>
              <w:t xml:space="preserve"> (YÖDAK)</w:t>
            </w: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işlem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kararları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60F4" w:rsidRPr="001060F4" w:rsidTr="005F67B5">
        <w:tc>
          <w:tcPr>
            <w:tcW w:w="2943" w:type="dxa"/>
            <w:gridSpan w:val="5"/>
          </w:tcPr>
          <w:p w:rsidR="001060F4" w:rsidRPr="001060F4" w:rsidRDefault="001060F4" w:rsidP="005F67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060F4" w:rsidRPr="001060F4" w:rsidRDefault="001060F4" w:rsidP="005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5636" w:type="dxa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Kuzey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Kıbrıs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Türk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Cumhuriyeti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Yasası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uyarınca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kurulmuş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üniversiteler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kendi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yasaları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uyarınca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kurulmuş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üniversitelerin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işlem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kararları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</w:tc>
      </w:tr>
      <w:tr w:rsidR="001060F4" w:rsidRPr="001060F4" w:rsidTr="005F67B5">
        <w:trPr>
          <w:trHeight w:val="283"/>
        </w:trPr>
        <w:tc>
          <w:tcPr>
            <w:tcW w:w="2943" w:type="dxa"/>
            <w:gridSpan w:val="5"/>
          </w:tcPr>
          <w:p w:rsidR="001060F4" w:rsidRPr="001060F4" w:rsidRDefault="001060F4" w:rsidP="005F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3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0F4" w:rsidRPr="001060F4" w:rsidTr="005F67B5">
        <w:tc>
          <w:tcPr>
            <w:tcW w:w="1809" w:type="dxa"/>
          </w:tcPr>
          <w:p w:rsidR="001060F4" w:rsidRPr="001060F4" w:rsidRDefault="001060F4" w:rsidP="005F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Geçici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Madde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0F4" w:rsidRPr="001060F4" w:rsidRDefault="001060F4" w:rsidP="005F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Sonuçlanmamış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Davaların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İstinafların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Durumu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  <w:gridSpan w:val="2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345" w:type="dxa"/>
            <w:gridSpan w:val="3"/>
          </w:tcPr>
          <w:p w:rsidR="001060F4" w:rsidRPr="001060F4" w:rsidRDefault="001060F4" w:rsidP="00C90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Bu </w:t>
            </w:r>
            <w:r w:rsidR="00783C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Değişiklik</w:t>
            </w:r>
            <w:proofErr w:type="spellEnd"/>
            <w:r w:rsidR="00783C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Yasası</w:t>
            </w:r>
            <w:r w:rsidR="00783C9C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yürürlüğe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girdiği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tarihten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önce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duruşmasına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başlanmış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henüz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sonuçlandırılmamış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Ek’li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Cetvele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edilmiş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kuruluşlar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aleyhine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açılmış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davaların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dinlenip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karara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bağlanması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davayı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dinlemeye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başlayan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yargıçlı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İdare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Mahkemesi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yapılır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60F4" w:rsidRPr="001060F4" w:rsidTr="005F67B5">
        <w:tc>
          <w:tcPr>
            <w:tcW w:w="1809" w:type="dxa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345" w:type="dxa"/>
            <w:gridSpan w:val="3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yargıçlı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İdare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Mahkemesi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dinlenmiş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davalarda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verilen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kararlara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karşı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yapılan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istinaflar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Geçici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Maddenin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(1)’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inci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fıkrası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uyarınca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Yargıçlı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İdare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Mahkemesi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duruşmasına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başlanmış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davalarda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verilecek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kararlara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karşı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yapılan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istinaflar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üç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yargıçtan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oluşan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İdare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Mahkemesi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görülür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60F4" w:rsidRPr="001060F4" w:rsidTr="005F67B5">
        <w:trPr>
          <w:trHeight w:val="311"/>
        </w:trPr>
        <w:tc>
          <w:tcPr>
            <w:tcW w:w="2660" w:type="dxa"/>
            <w:gridSpan w:val="4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gridSpan w:val="2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0F4" w:rsidRPr="001060F4" w:rsidTr="005F67B5">
        <w:tc>
          <w:tcPr>
            <w:tcW w:w="1809" w:type="dxa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Yürürlüğe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Giriş</w:t>
            </w:r>
            <w:proofErr w:type="spellEnd"/>
          </w:p>
        </w:tc>
        <w:tc>
          <w:tcPr>
            <w:tcW w:w="7479" w:type="dxa"/>
            <w:gridSpan w:val="7"/>
          </w:tcPr>
          <w:p w:rsidR="001060F4" w:rsidRPr="001060F4" w:rsidRDefault="001060F4" w:rsidP="005F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3. Bu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Yasa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Gazete’de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yayımlandığı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tarihten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başlayarak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yürürlüğe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girer</w:t>
            </w:r>
            <w:proofErr w:type="spellEnd"/>
            <w:r w:rsidRPr="0010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13E78" w:rsidRPr="001060F4" w:rsidRDefault="00C13E78">
      <w:pPr>
        <w:rPr>
          <w:rFonts w:ascii="Times New Roman" w:hAnsi="Times New Roman" w:cs="Times New Roman"/>
        </w:rPr>
      </w:pPr>
    </w:p>
    <w:sectPr w:rsidR="00C13E78" w:rsidRPr="001060F4" w:rsidSect="00DD7981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981" w:rsidRDefault="00DD7981" w:rsidP="00DD7981">
      <w:pPr>
        <w:spacing w:after="0" w:line="240" w:lineRule="auto"/>
      </w:pPr>
      <w:r>
        <w:separator/>
      </w:r>
    </w:p>
  </w:endnote>
  <w:endnote w:type="continuationSeparator" w:id="0">
    <w:p w:rsidR="00DD7981" w:rsidRDefault="00DD7981" w:rsidP="00DD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78094786"/>
      <w:docPartObj>
        <w:docPartGallery w:val="Page Numbers (Bottom of Page)"/>
        <w:docPartUnique/>
      </w:docPartObj>
    </w:sdtPr>
    <w:sdtEndPr/>
    <w:sdtContent>
      <w:p w:rsidR="00DD7981" w:rsidRPr="00DD7981" w:rsidRDefault="00DD798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79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79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D79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65FC" w:rsidRPr="006165FC">
          <w:rPr>
            <w:rFonts w:ascii="Times New Roman" w:hAnsi="Times New Roman" w:cs="Times New Roman"/>
            <w:noProof/>
            <w:sz w:val="24"/>
            <w:szCs w:val="24"/>
            <w:lang w:val="tr-TR"/>
          </w:rPr>
          <w:t>3</w:t>
        </w:r>
        <w:r w:rsidRPr="00DD79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7981" w:rsidRDefault="00DD79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981" w:rsidRDefault="00DD7981" w:rsidP="00DD7981">
      <w:pPr>
        <w:spacing w:after="0" w:line="240" w:lineRule="auto"/>
      </w:pPr>
      <w:r>
        <w:separator/>
      </w:r>
    </w:p>
  </w:footnote>
  <w:footnote w:type="continuationSeparator" w:id="0">
    <w:p w:rsidR="00DD7981" w:rsidRDefault="00DD7981" w:rsidP="00DD7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59"/>
    <w:rsid w:val="001060F4"/>
    <w:rsid w:val="00250465"/>
    <w:rsid w:val="00265526"/>
    <w:rsid w:val="006165FC"/>
    <w:rsid w:val="00783C9C"/>
    <w:rsid w:val="007D116C"/>
    <w:rsid w:val="00814FE7"/>
    <w:rsid w:val="00C13E78"/>
    <w:rsid w:val="00C80D60"/>
    <w:rsid w:val="00C90DF7"/>
    <w:rsid w:val="00CC7959"/>
    <w:rsid w:val="00DD7981"/>
    <w:rsid w:val="00EA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0F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0F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98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D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98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0F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0F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98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D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98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D8E5-4FC7-4C10-B27F-53865567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Aysel Baysal</dc:creator>
  <cp:lastModifiedBy>Gürkan Artun</cp:lastModifiedBy>
  <cp:revision>3</cp:revision>
  <cp:lastPrinted>2024-06-20T08:16:00Z</cp:lastPrinted>
  <dcterms:created xsi:type="dcterms:W3CDTF">2024-06-28T09:21:00Z</dcterms:created>
  <dcterms:modified xsi:type="dcterms:W3CDTF">2024-06-28T09:55:00Z</dcterms:modified>
</cp:coreProperties>
</file>