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BD" w:rsidRDefault="00813DBD" w:rsidP="00813DBD">
      <w:pPr>
        <w:jc w:val="both"/>
      </w:pPr>
      <w:r>
        <w:rPr>
          <w:rFonts w:ascii="Times New Roman" w:hAnsi="Times New Roman"/>
          <w:szCs w:val="24"/>
        </w:rPr>
        <w:t>Kuzey Kıbrıs Türk Cumhuriyeti Cumhuriyet Meclisi’nin 8 Mayıs 2023 tarihli Elliinci  Birleşiminde Oybirliğiyle kabul olunan “</w:t>
      </w:r>
      <w:r w:rsidRPr="00813DBD">
        <w:rPr>
          <w:rFonts w:ascii="Times New Roman" w:hAnsi="Times New Roman"/>
          <w:szCs w:val="24"/>
        </w:rPr>
        <w:t xml:space="preserve">Teknoloji Geliştirme Bölgeleri (Değişiklik) </w:t>
      </w:r>
      <w:r>
        <w:rPr>
          <w:rFonts w:ascii="Times New Roman" w:hAnsi="Times New Roman"/>
          <w:szCs w:val="24"/>
        </w:rPr>
        <w:t>Yasası” Anayasanın 94'üncü maddesinin (1)'inci fıkrası gereğince Kuzey Kıbrıs Türk Cumhuriyeti Cumhurbaşkanı tarafından Resmi Gazete'de yayımlanmak suretiyle ilan olunur.</w:t>
      </w:r>
      <w:r>
        <w:rPr>
          <w:rFonts w:ascii="Times New Roman" w:hAnsi="Times New Roman"/>
          <w:bCs/>
          <w:szCs w:val="24"/>
        </w:rPr>
        <w:tab/>
      </w:r>
      <w:r>
        <w:t xml:space="preserve"> </w:t>
      </w:r>
    </w:p>
    <w:p w:rsidR="003930F6" w:rsidRDefault="003930F6" w:rsidP="00813DBD">
      <w:pPr>
        <w:jc w:val="both"/>
      </w:pPr>
    </w:p>
    <w:p w:rsidR="00813DBD" w:rsidRDefault="00813DBD" w:rsidP="003930F6">
      <w:pPr>
        <w:jc w:val="center"/>
        <w:rPr>
          <w:rFonts w:ascii="Times New Roman" w:hAnsi="Times New Roman"/>
        </w:rPr>
      </w:pPr>
      <w:r w:rsidRPr="00813DBD">
        <w:rPr>
          <w:rFonts w:ascii="Times New Roman" w:hAnsi="Times New Roman"/>
        </w:rPr>
        <w:t>Sayı: 19/2023</w:t>
      </w:r>
      <w:bookmarkStart w:id="0" w:name="_GoBack"/>
      <w:bookmarkEnd w:id="0"/>
    </w:p>
    <w:tbl>
      <w:tblPr>
        <w:tblW w:w="9630" w:type="dxa"/>
        <w:tblInd w:w="-432" w:type="dxa"/>
        <w:tblLook w:val="04A0" w:firstRow="1" w:lastRow="0" w:firstColumn="1" w:lastColumn="0" w:noHBand="0" w:noVBand="1"/>
      </w:tblPr>
      <w:tblGrid>
        <w:gridCol w:w="1710"/>
        <w:gridCol w:w="360"/>
        <w:gridCol w:w="1710"/>
        <w:gridCol w:w="5850"/>
      </w:tblGrid>
      <w:tr w:rsidR="005A4CBC" w:rsidTr="006C13E8">
        <w:trPr>
          <w:trHeight w:val="203"/>
        </w:trPr>
        <w:tc>
          <w:tcPr>
            <w:tcW w:w="9630" w:type="dxa"/>
            <w:gridSpan w:val="4"/>
          </w:tcPr>
          <w:p w:rsidR="005A4CBC" w:rsidRPr="00F8557B" w:rsidRDefault="00F8557B" w:rsidP="00003D4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</w:t>
            </w:r>
            <w:r w:rsidR="005A4CBC" w:rsidRPr="005A4CBC">
              <w:rPr>
                <w:rFonts w:ascii="Times New Roman" w:hAnsi="Times New Roman"/>
                <w:szCs w:val="24"/>
              </w:rPr>
              <w:t>TEKNOLOJİ GELİŞTİRME BÖLGELERİ (DEĞİŞİKLİK)</w:t>
            </w:r>
            <w:r w:rsidR="005A4CBC">
              <w:rPr>
                <w:rFonts w:ascii="Times New Roman" w:hAnsi="Times New Roman"/>
                <w:szCs w:val="24"/>
              </w:rPr>
              <w:t xml:space="preserve"> </w:t>
            </w:r>
            <w:r w:rsidR="005A4CBC" w:rsidRPr="005A4CBC">
              <w:rPr>
                <w:rFonts w:ascii="Times New Roman" w:hAnsi="Times New Roman"/>
                <w:szCs w:val="24"/>
              </w:rPr>
              <w:t>YASASI</w:t>
            </w:r>
          </w:p>
        </w:tc>
      </w:tr>
      <w:tr w:rsidR="005A4CBC" w:rsidTr="006C13E8">
        <w:trPr>
          <w:trHeight w:val="203"/>
        </w:trPr>
        <w:tc>
          <w:tcPr>
            <w:tcW w:w="9630" w:type="dxa"/>
            <w:gridSpan w:val="4"/>
          </w:tcPr>
          <w:p w:rsidR="005A4CBC" w:rsidRDefault="005A4CBC" w:rsidP="005A4CB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A4CBC" w:rsidTr="005A4CBC">
        <w:trPr>
          <w:trHeight w:val="203"/>
        </w:trPr>
        <w:tc>
          <w:tcPr>
            <w:tcW w:w="1710" w:type="dxa"/>
          </w:tcPr>
          <w:p w:rsidR="005A4CBC" w:rsidRPr="00F8557B" w:rsidRDefault="005A4CBC" w:rsidP="00E76F9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20" w:type="dxa"/>
            <w:gridSpan w:val="3"/>
          </w:tcPr>
          <w:p w:rsidR="005A4CBC" w:rsidRDefault="005A4CBC" w:rsidP="00E76F9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5A4CBC">
              <w:rPr>
                <w:rFonts w:ascii="Times New Roman" w:hAnsi="Times New Roman"/>
                <w:szCs w:val="24"/>
              </w:rPr>
              <w:t xml:space="preserve">         Kuzey Kıbrıs Türk Cumhuriyeti Cumhuriyet Meclisi aşağıdaki Yasayı yapar:</w:t>
            </w:r>
          </w:p>
        </w:tc>
      </w:tr>
      <w:tr w:rsidR="00E76F91" w:rsidTr="005A4CBC">
        <w:trPr>
          <w:trHeight w:val="203"/>
        </w:trPr>
        <w:tc>
          <w:tcPr>
            <w:tcW w:w="1710" w:type="dxa"/>
          </w:tcPr>
          <w:p w:rsidR="00E76F91" w:rsidRPr="00F8557B" w:rsidRDefault="00E76F91" w:rsidP="00E76F9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20" w:type="dxa"/>
            <w:gridSpan w:val="3"/>
          </w:tcPr>
          <w:p w:rsidR="00E76F91" w:rsidRDefault="00E76F91" w:rsidP="00E76F9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76F91" w:rsidTr="005A4CBC">
        <w:trPr>
          <w:trHeight w:val="185"/>
        </w:trPr>
        <w:tc>
          <w:tcPr>
            <w:tcW w:w="1710" w:type="dxa"/>
          </w:tcPr>
          <w:p w:rsidR="00E76F91" w:rsidRPr="00F8557B" w:rsidRDefault="00E76F91" w:rsidP="007C7091">
            <w:pPr>
              <w:spacing w:after="0"/>
              <w:rPr>
                <w:rFonts w:ascii="Times New Roman" w:hAnsi="Times New Roman"/>
                <w:szCs w:val="24"/>
              </w:rPr>
            </w:pPr>
            <w:r w:rsidRPr="00F8557B">
              <w:rPr>
                <w:rFonts w:ascii="Times New Roman" w:hAnsi="Times New Roman"/>
                <w:szCs w:val="24"/>
              </w:rPr>
              <w:t>Kısa İsim</w:t>
            </w:r>
          </w:p>
          <w:p w:rsidR="00E76F91" w:rsidRPr="00F8557B" w:rsidRDefault="00E76F91" w:rsidP="007C7091">
            <w:pPr>
              <w:spacing w:after="0"/>
              <w:rPr>
                <w:rFonts w:ascii="Times New Roman" w:hAnsi="Times New Roman"/>
              </w:rPr>
            </w:pPr>
            <w:r w:rsidRPr="00F8557B">
              <w:rPr>
                <w:rFonts w:ascii="Times New Roman" w:hAnsi="Times New Roman"/>
              </w:rPr>
              <w:t>42/2018</w:t>
            </w:r>
          </w:p>
          <w:p w:rsidR="00E76F91" w:rsidRPr="00F8557B" w:rsidRDefault="00E76F91" w:rsidP="007C709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20" w:type="dxa"/>
            <w:gridSpan w:val="3"/>
          </w:tcPr>
          <w:p w:rsidR="00E76F91" w:rsidRPr="00E76F91" w:rsidRDefault="00E76F91" w:rsidP="00E76F9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E76F91">
              <w:rPr>
                <w:rFonts w:ascii="Times New Roman" w:hAnsi="Times New Roman"/>
                <w:szCs w:val="24"/>
              </w:rPr>
              <w:t xml:space="preserve"> Bu Yasa, </w:t>
            </w:r>
            <w:r w:rsidRPr="00E76F91">
              <w:rPr>
                <w:rFonts w:ascii="Times New Roman" w:hAnsi="Times New Roman"/>
              </w:rPr>
              <w:t xml:space="preserve">Teknoloji Geliştirme Bölgeleri </w:t>
            </w:r>
            <w:r w:rsidRPr="00E76F91">
              <w:rPr>
                <w:rFonts w:ascii="Times New Roman" w:hAnsi="Times New Roman"/>
                <w:szCs w:val="24"/>
              </w:rPr>
              <w:t xml:space="preserve">(Değişiklik) Yasası olarak isimlendirilir ve aşağıda “Esas Yasa” olarak anılan </w:t>
            </w:r>
            <w:r w:rsidRPr="00E76F91">
              <w:rPr>
                <w:rFonts w:ascii="Times New Roman" w:hAnsi="Times New Roman"/>
              </w:rPr>
              <w:t xml:space="preserve">Teknoloji Geliştirme Bölgeleri Yasası </w:t>
            </w:r>
            <w:r w:rsidRPr="00E76F91">
              <w:rPr>
                <w:rFonts w:ascii="Times New Roman" w:hAnsi="Times New Roman"/>
                <w:szCs w:val="24"/>
              </w:rPr>
              <w:t xml:space="preserve"> ile birlikte okunur.</w:t>
            </w:r>
          </w:p>
        </w:tc>
      </w:tr>
      <w:tr w:rsidR="00E76F91" w:rsidTr="005A4CBC">
        <w:trPr>
          <w:trHeight w:val="185"/>
        </w:trPr>
        <w:tc>
          <w:tcPr>
            <w:tcW w:w="1710" w:type="dxa"/>
          </w:tcPr>
          <w:p w:rsidR="00E76F91" w:rsidRPr="00F8557B" w:rsidRDefault="00E76F91" w:rsidP="007C709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20" w:type="dxa"/>
            <w:gridSpan w:val="3"/>
          </w:tcPr>
          <w:p w:rsidR="00E76F91" w:rsidRDefault="00E76F91" w:rsidP="00E76F9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76F91" w:rsidTr="005A4CBC">
        <w:trPr>
          <w:trHeight w:val="176"/>
        </w:trPr>
        <w:tc>
          <w:tcPr>
            <w:tcW w:w="1710" w:type="dxa"/>
          </w:tcPr>
          <w:p w:rsidR="00E76F91" w:rsidRPr="00F8557B" w:rsidRDefault="00E76F91">
            <w:pPr>
              <w:spacing w:after="0"/>
              <w:rPr>
                <w:rFonts w:ascii="Times New Roman" w:hAnsi="Times New Roman"/>
                <w:szCs w:val="24"/>
              </w:rPr>
            </w:pPr>
            <w:r w:rsidRPr="00E76F91">
              <w:rPr>
                <w:rFonts w:ascii="Times New Roman" w:hAnsi="Times New Roman"/>
                <w:szCs w:val="24"/>
              </w:rPr>
              <w:t>Esas Yasanın Geçici 1’inci</w:t>
            </w:r>
          </w:p>
        </w:tc>
        <w:tc>
          <w:tcPr>
            <w:tcW w:w="7920" w:type="dxa"/>
            <w:gridSpan w:val="3"/>
          </w:tcPr>
          <w:p w:rsidR="00E76F91" w:rsidRPr="00F8557B" w:rsidRDefault="00E76F91" w:rsidP="004E27D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76F91">
              <w:rPr>
                <w:rFonts w:ascii="Times New Roman" w:hAnsi="Times New Roman"/>
                <w:szCs w:val="24"/>
              </w:rPr>
              <w:t xml:space="preserve">2. Esas Yasa, Geçici 1’inci </w:t>
            </w:r>
            <w:r w:rsidR="004E27DC">
              <w:rPr>
                <w:rFonts w:ascii="Times New Roman" w:hAnsi="Times New Roman"/>
                <w:szCs w:val="24"/>
              </w:rPr>
              <w:t>M</w:t>
            </w:r>
            <w:r w:rsidRPr="00E76F91">
              <w:rPr>
                <w:rFonts w:ascii="Times New Roman" w:hAnsi="Times New Roman"/>
                <w:szCs w:val="24"/>
              </w:rPr>
              <w:t xml:space="preserve">addesi kaldırılmak ve yerine aşağıdaki yeni </w:t>
            </w:r>
            <w:r w:rsidR="004E27DC">
              <w:rPr>
                <w:rFonts w:ascii="Times New Roman" w:hAnsi="Times New Roman"/>
                <w:szCs w:val="24"/>
              </w:rPr>
              <w:t xml:space="preserve"> </w:t>
            </w:r>
            <w:r w:rsidRPr="00E76F91">
              <w:rPr>
                <w:rFonts w:ascii="Times New Roman" w:hAnsi="Times New Roman"/>
                <w:szCs w:val="24"/>
              </w:rPr>
              <w:t xml:space="preserve">Geçici 1’inci </w:t>
            </w:r>
            <w:r w:rsidR="004E27DC">
              <w:rPr>
                <w:rFonts w:ascii="Times New Roman" w:hAnsi="Times New Roman"/>
                <w:szCs w:val="24"/>
              </w:rPr>
              <w:t>M</w:t>
            </w:r>
            <w:r w:rsidRPr="00E76F91">
              <w:rPr>
                <w:rFonts w:ascii="Times New Roman" w:hAnsi="Times New Roman"/>
                <w:szCs w:val="24"/>
              </w:rPr>
              <w:t>adde konmak suretiyle değiştirilir:</w:t>
            </w:r>
          </w:p>
        </w:tc>
      </w:tr>
      <w:tr w:rsidR="00E76F91" w:rsidTr="005A4CBC">
        <w:trPr>
          <w:trHeight w:val="176"/>
        </w:trPr>
        <w:tc>
          <w:tcPr>
            <w:tcW w:w="1710" w:type="dxa"/>
          </w:tcPr>
          <w:p w:rsidR="00E76F91" w:rsidRPr="00E76F91" w:rsidRDefault="00E76F91">
            <w:pPr>
              <w:spacing w:after="0"/>
              <w:rPr>
                <w:rFonts w:ascii="Times New Roman" w:hAnsi="Times New Roman"/>
                <w:szCs w:val="24"/>
              </w:rPr>
            </w:pPr>
            <w:r w:rsidRPr="00E76F91">
              <w:rPr>
                <w:rFonts w:ascii="Times New Roman" w:hAnsi="Times New Roman"/>
                <w:szCs w:val="24"/>
              </w:rPr>
              <w:t>Maddesinin</w:t>
            </w:r>
          </w:p>
        </w:tc>
        <w:tc>
          <w:tcPr>
            <w:tcW w:w="7920" w:type="dxa"/>
            <w:gridSpan w:val="3"/>
          </w:tcPr>
          <w:p w:rsidR="00E76F91" w:rsidRPr="00E76F91" w:rsidRDefault="00E76F9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76F91" w:rsidTr="00DE68DA">
        <w:trPr>
          <w:trHeight w:val="176"/>
        </w:trPr>
        <w:tc>
          <w:tcPr>
            <w:tcW w:w="1710" w:type="dxa"/>
          </w:tcPr>
          <w:p w:rsidR="00E76F91" w:rsidRPr="00E76F91" w:rsidRDefault="00E76F91">
            <w:pPr>
              <w:spacing w:after="0"/>
              <w:rPr>
                <w:rFonts w:ascii="Times New Roman" w:hAnsi="Times New Roman"/>
                <w:szCs w:val="24"/>
              </w:rPr>
            </w:pPr>
            <w:r w:rsidRPr="00E76F91">
              <w:rPr>
                <w:rFonts w:ascii="Times New Roman" w:hAnsi="Times New Roman"/>
                <w:szCs w:val="24"/>
              </w:rPr>
              <w:t>Değiştirilmesi</w:t>
            </w:r>
          </w:p>
        </w:tc>
        <w:tc>
          <w:tcPr>
            <w:tcW w:w="360" w:type="dxa"/>
          </w:tcPr>
          <w:p w:rsidR="00E76F91" w:rsidRPr="00E76F91" w:rsidRDefault="00E76F9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E76F91" w:rsidRDefault="00E76F9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“Geçici Madde</w:t>
            </w:r>
          </w:p>
          <w:p w:rsidR="00E76F91" w:rsidRPr="00E76F91" w:rsidRDefault="00E76F91" w:rsidP="00E76F91">
            <w:pPr>
              <w:spacing w:after="0"/>
              <w:rPr>
                <w:rFonts w:ascii="Times New Roman" w:hAnsi="Times New Roman"/>
                <w:szCs w:val="24"/>
              </w:rPr>
            </w:pPr>
            <w:r w:rsidRPr="00E76F91">
              <w:rPr>
                <w:rFonts w:ascii="Times New Roman" w:hAnsi="Times New Roman"/>
                <w:szCs w:val="24"/>
              </w:rPr>
              <w:t>Kurulmuş Olan Bölgeler</w:t>
            </w:r>
          </w:p>
        </w:tc>
        <w:tc>
          <w:tcPr>
            <w:tcW w:w="5850" w:type="dxa"/>
          </w:tcPr>
          <w:p w:rsidR="00E76F91" w:rsidRPr="00E76F91" w:rsidRDefault="00E76F91" w:rsidP="00D861EE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76F91">
              <w:rPr>
                <w:rFonts w:ascii="Times New Roman" w:hAnsi="Times New Roman"/>
                <w:szCs w:val="24"/>
              </w:rPr>
              <w:t>1. Bu Yasanın yürürlüğe girdiği tarihten önce, bu Yasanın amacına uygun biçimde kurulmuş olan bir Bölge, en geç 31.12.202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E76F91">
              <w:rPr>
                <w:rFonts w:ascii="Times New Roman" w:hAnsi="Times New Roman"/>
                <w:szCs w:val="24"/>
              </w:rPr>
              <w:t xml:space="preserve"> tarihine kadar durumunu bu Yasaya uygun hale getirir. Bu süre</w:t>
            </w:r>
            <w:r w:rsidR="00D861EE">
              <w:rPr>
                <w:rFonts w:ascii="Times New Roman" w:hAnsi="Times New Roman"/>
                <w:szCs w:val="24"/>
              </w:rPr>
              <w:t xml:space="preserve"> içerisinde</w:t>
            </w:r>
            <w:r w:rsidRPr="00E76F91">
              <w:rPr>
                <w:rFonts w:ascii="Times New Roman" w:hAnsi="Times New Roman"/>
                <w:szCs w:val="24"/>
              </w:rPr>
              <w:t xml:space="preserve"> durumunu bu Yasaya uygun hale getirmeyen Bölge hakkında</w:t>
            </w:r>
            <w:r w:rsidR="009A1FB7">
              <w:rPr>
                <w:rFonts w:ascii="Times New Roman" w:hAnsi="Times New Roman"/>
                <w:szCs w:val="24"/>
              </w:rPr>
              <w:t>,</w:t>
            </w:r>
            <w:r w:rsidRPr="00E76F91">
              <w:rPr>
                <w:rFonts w:ascii="Times New Roman" w:hAnsi="Times New Roman"/>
                <w:szCs w:val="24"/>
              </w:rPr>
              <w:t xml:space="preserve"> bu Yasanın 15’inci madde kuralları uygulanır.”</w:t>
            </w:r>
          </w:p>
        </w:tc>
      </w:tr>
      <w:tr w:rsidR="00F8557B" w:rsidTr="005A4CBC">
        <w:trPr>
          <w:trHeight w:val="80"/>
        </w:trPr>
        <w:tc>
          <w:tcPr>
            <w:tcW w:w="1710" w:type="dxa"/>
          </w:tcPr>
          <w:p w:rsidR="00F8557B" w:rsidRDefault="00F8557B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20" w:type="dxa"/>
            <w:gridSpan w:val="3"/>
          </w:tcPr>
          <w:p w:rsidR="00F8557B" w:rsidRDefault="00F8557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8557B" w:rsidTr="005A4CBC">
        <w:trPr>
          <w:trHeight w:val="80"/>
        </w:trPr>
        <w:tc>
          <w:tcPr>
            <w:tcW w:w="1710" w:type="dxa"/>
          </w:tcPr>
          <w:p w:rsidR="00F8557B" w:rsidRDefault="00F8557B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Yürürlüğe Giriş</w:t>
            </w:r>
          </w:p>
          <w:p w:rsidR="00F8557B" w:rsidRDefault="00F8557B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20" w:type="dxa"/>
            <w:gridSpan w:val="3"/>
            <w:hideMark/>
          </w:tcPr>
          <w:p w:rsidR="00F8557B" w:rsidRDefault="00F8557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 Bu Yasa</w:t>
            </w:r>
            <w:r w:rsidR="00972E1C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Resmi Gazete’de yayımlandığı tarihten başlayarak yürürlüğe girer.</w:t>
            </w:r>
          </w:p>
        </w:tc>
      </w:tr>
    </w:tbl>
    <w:p w:rsidR="003A19AB" w:rsidRDefault="001E7B3D"/>
    <w:sectPr w:rsidR="003A1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3D" w:rsidRDefault="001E7B3D" w:rsidP="00DC4AB2">
      <w:pPr>
        <w:spacing w:after="0"/>
      </w:pPr>
      <w:r>
        <w:separator/>
      </w:r>
    </w:p>
  </w:endnote>
  <w:endnote w:type="continuationSeparator" w:id="0">
    <w:p w:rsidR="001E7B3D" w:rsidRDefault="001E7B3D" w:rsidP="00DC4A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3D" w:rsidRDefault="001E7B3D" w:rsidP="00DC4AB2">
      <w:pPr>
        <w:spacing w:after="0"/>
      </w:pPr>
      <w:r>
        <w:separator/>
      </w:r>
    </w:p>
  </w:footnote>
  <w:footnote w:type="continuationSeparator" w:id="0">
    <w:p w:rsidR="001E7B3D" w:rsidRDefault="001E7B3D" w:rsidP="00DC4AB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B2A"/>
    <w:multiLevelType w:val="hybridMultilevel"/>
    <w:tmpl w:val="D79A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9030F"/>
    <w:multiLevelType w:val="hybridMultilevel"/>
    <w:tmpl w:val="39EC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81"/>
    <w:rsid w:val="00003D4E"/>
    <w:rsid w:val="000278DE"/>
    <w:rsid w:val="000932BA"/>
    <w:rsid w:val="001E7B3D"/>
    <w:rsid w:val="001F01D1"/>
    <w:rsid w:val="00270878"/>
    <w:rsid w:val="002D0EEB"/>
    <w:rsid w:val="00376255"/>
    <w:rsid w:val="003930F6"/>
    <w:rsid w:val="00395DC5"/>
    <w:rsid w:val="00402181"/>
    <w:rsid w:val="004B0F86"/>
    <w:rsid w:val="004B40C5"/>
    <w:rsid w:val="004E27DC"/>
    <w:rsid w:val="00591F56"/>
    <w:rsid w:val="005A4CBC"/>
    <w:rsid w:val="005C0EB7"/>
    <w:rsid w:val="006145FF"/>
    <w:rsid w:val="00732D09"/>
    <w:rsid w:val="00813DBD"/>
    <w:rsid w:val="00821E97"/>
    <w:rsid w:val="00873ADB"/>
    <w:rsid w:val="0087402E"/>
    <w:rsid w:val="00930B77"/>
    <w:rsid w:val="0097039A"/>
    <w:rsid w:val="00972E1C"/>
    <w:rsid w:val="00984F40"/>
    <w:rsid w:val="009A1FB7"/>
    <w:rsid w:val="00A2205D"/>
    <w:rsid w:val="00AA3DE0"/>
    <w:rsid w:val="00BA006B"/>
    <w:rsid w:val="00BA716E"/>
    <w:rsid w:val="00C2437B"/>
    <w:rsid w:val="00C33F6C"/>
    <w:rsid w:val="00C51407"/>
    <w:rsid w:val="00CF1ADB"/>
    <w:rsid w:val="00D37280"/>
    <w:rsid w:val="00D57AD3"/>
    <w:rsid w:val="00D80312"/>
    <w:rsid w:val="00D861EE"/>
    <w:rsid w:val="00DB2E24"/>
    <w:rsid w:val="00DC4AB2"/>
    <w:rsid w:val="00DE1B46"/>
    <w:rsid w:val="00DE478C"/>
    <w:rsid w:val="00DE68DA"/>
    <w:rsid w:val="00DF4372"/>
    <w:rsid w:val="00E2292B"/>
    <w:rsid w:val="00E76F91"/>
    <w:rsid w:val="00EA0E91"/>
    <w:rsid w:val="00F05B2F"/>
    <w:rsid w:val="00F453A3"/>
    <w:rsid w:val="00F5510C"/>
    <w:rsid w:val="00F8557B"/>
    <w:rsid w:val="00F979C5"/>
    <w:rsid w:val="00FB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7B"/>
    <w:pPr>
      <w:spacing w:line="240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5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5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nhideWhenUsed/>
    <w:rsid w:val="00F855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8557B"/>
    <w:rPr>
      <w:rFonts w:ascii="Arial" w:eastAsia="Calibri" w:hAnsi="Arial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C4AB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4AB2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C4AB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4AB2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E76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7B"/>
    <w:pPr>
      <w:spacing w:line="240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5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5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nhideWhenUsed/>
    <w:rsid w:val="00F855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8557B"/>
    <w:rPr>
      <w:rFonts w:ascii="Arial" w:eastAsia="Calibri" w:hAnsi="Arial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C4AB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4AB2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C4AB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4AB2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E76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</dc:creator>
  <cp:lastModifiedBy>Sinem01 Demirgil</cp:lastModifiedBy>
  <cp:revision>4</cp:revision>
  <cp:lastPrinted>2023-04-14T07:12:00Z</cp:lastPrinted>
  <dcterms:created xsi:type="dcterms:W3CDTF">2023-05-22T10:39:00Z</dcterms:created>
  <dcterms:modified xsi:type="dcterms:W3CDTF">2023-05-22T10:44:00Z</dcterms:modified>
</cp:coreProperties>
</file>