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45" w:rsidRPr="00650345" w:rsidRDefault="00650345" w:rsidP="00650345">
      <w:pPr>
        <w:jc w:val="both"/>
        <w:rPr>
          <w:rFonts w:ascii="Times New Roman" w:eastAsia="Times New Roman" w:hAnsi="Times New Roman" w:cs="Times New Roman"/>
          <w:bCs/>
          <w:sz w:val="24"/>
          <w:szCs w:val="24"/>
          <w:lang w:eastAsia="tr-TR"/>
        </w:rPr>
      </w:pPr>
      <w:r w:rsidRPr="00650345">
        <w:rPr>
          <w:rFonts w:ascii="Times New Roman" w:eastAsia="Calibri" w:hAnsi="Times New Roman" w:cs="Times New Roman"/>
          <w:sz w:val="24"/>
          <w:szCs w:val="24"/>
          <w:lang w:eastAsia="tr-TR"/>
        </w:rPr>
        <w:t>Kuzey Kıbrıs Türk Cumhu</w:t>
      </w:r>
      <w:r w:rsidR="00D74E5B">
        <w:rPr>
          <w:rFonts w:ascii="Times New Roman" w:eastAsia="Calibri" w:hAnsi="Times New Roman" w:cs="Times New Roman"/>
          <w:sz w:val="24"/>
          <w:szCs w:val="24"/>
          <w:lang w:eastAsia="tr-TR"/>
        </w:rPr>
        <w:t>riyeti Cumhuriyet Meclisi’nin 25</w:t>
      </w:r>
      <w:r w:rsidRPr="00650345">
        <w:rPr>
          <w:rFonts w:ascii="Times New Roman" w:eastAsia="Calibri" w:hAnsi="Times New Roman" w:cs="Times New Roman"/>
          <w:sz w:val="24"/>
          <w:szCs w:val="24"/>
          <w:lang w:eastAsia="tr-TR"/>
        </w:rPr>
        <w:t xml:space="preserve"> </w:t>
      </w:r>
      <w:r w:rsidR="00D74E5B">
        <w:rPr>
          <w:rFonts w:ascii="Times New Roman" w:eastAsia="Calibri" w:hAnsi="Times New Roman" w:cs="Times New Roman"/>
          <w:sz w:val="24"/>
          <w:szCs w:val="24"/>
          <w:lang w:eastAsia="tr-TR"/>
        </w:rPr>
        <w:t xml:space="preserve">Ekim </w:t>
      </w:r>
      <w:r w:rsidRPr="00650345">
        <w:rPr>
          <w:rFonts w:ascii="Times New Roman" w:eastAsia="Calibri" w:hAnsi="Times New Roman" w:cs="Times New Roman"/>
          <w:sz w:val="24"/>
          <w:szCs w:val="24"/>
          <w:lang w:eastAsia="tr-TR"/>
        </w:rPr>
        <w:t xml:space="preserve"> 2021 tarihli </w:t>
      </w:r>
      <w:r w:rsidR="00D74E5B">
        <w:rPr>
          <w:rFonts w:ascii="Times New Roman" w:eastAsia="Calibri" w:hAnsi="Times New Roman" w:cs="Times New Roman"/>
          <w:sz w:val="24"/>
          <w:szCs w:val="24"/>
          <w:lang w:eastAsia="tr-TR"/>
        </w:rPr>
        <w:t xml:space="preserve">Onuncu </w:t>
      </w:r>
      <w:r w:rsidRPr="00650345">
        <w:rPr>
          <w:rFonts w:ascii="Times New Roman" w:eastAsia="Calibri" w:hAnsi="Times New Roman" w:cs="Times New Roman"/>
          <w:sz w:val="24"/>
          <w:szCs w:val="24"/>
          <w:lang w:eastAsia="tr-TR"/>
        </w:rPr>
        <w:t>Birleşiminde Oy</w:t>
      </w:r>
      <w:r w:rsidR="00D74E5B">
        <w:rPr>
          <w:rFonts w:ascii="Times New Roman" w:eastAsia="Calibri" w:hAnsi="Times New Roman" w:cs="Times New Roman"/>
          <w:sz w:val="24"/>
          <w:szCs w:val="24"/>
          <w:lang w:eastAsia="tr-TR"/>
        </w:rPr>
        <w:t xml:space="preserve">birliğiyle </w:t>
      </w:r>
      <w:r w:rsidRPr="00650345">
        <w:rPr>
          <w:rFonts w:ascii="Times New Roman" w:eastAsia="Calibri" w:hAnsi="Times New Roman" w:cs="Times New Roman"/>
          <w:sz w:val="24"/>
          <w:szCs w:val="24"/>
          <w:lang w:eastAsia="tr-TR"/>
        </w:rPr>
        <w:t>kabul olunan “</w:t>
      </w:r>
      <w:r w:rsidR="00D74E5B" w:rsidRPr="00650345">
        <w:rPr>
          <w:rFonts w:ascii="Times New Roman" w:eastAsia="Times New Roman" w:hAnsi="Times New Roman" w:cs="Times New Roman"/>
          <w:sz w:val="24"/>
          <w:szCs w:val="24"/>
          <w:lang w:eastAsia="tr-TR"/>
        </w:rPr>
        <w:t>Genel Tarım Sigortası Fonu 2021 Mali Yılı Bütçe Yasası</w:t>
      </w:r>
      <w:r w:rsidRPr="00650345">
        <w:rPr>
          <w:rFonts w:ascii="Times New Roman" w:eastAsia="Times New Roman" w:hAnsi="Times New Roman" w:cs="Times New Roman"/>
          <w:sz w:val="24"/>
          <w:szCs w:val="24"/>
        </w:rPr>
        <w:t xml:space="preserve">” </w:t>
      </w:r>
      <w:r w:rsidRPr="00650345">
        <w:rPr>
          <w:rFonts w:ascii="Times New Roman" w:eastAsia="Calibri" w:hAnsi="Times New Roman" w:cs="Times New Roman"/>
          <w:sz w:val="24"/>
          <w:szCs w:val="24"/>
          <w:lang w:eastAsia="tr-TR"/>
        </w:rPr>
        <w:t>Anayasanın 94'üncü maddesinin (1)'inci fıkrası gereğince Kuzey Kıbrıs Türk Cumhuriyeti Cumhurbaşkanı tarafından Resmi Gazete'de yayımlanmak suretiyle ilan olunur.</w:t>
      </w:r>
      <w:r w:rsidRPr="00650345">
        <w:rPr>
          <w:rFonts w:ascii="Times New Roman" w:eastAsia="Times New Roman" w:hAnsi="Times New Roman" w:cs="Times New Roman"/>
          <w:bCs/>
          <w:sz w:val="24"/>
          <w:szCs w:val="24"/>
          <w:lang w:eastAsia="tr-TR"/>
        </w:rPr>
        <w:tab/>
      </w:r>
    </w:p>
    <w:p w:rsidR="00650345" w:rsidRPr="00650345" w:rsidRDefault="00650345" w:rsidP="00650345">
      <w:pPr>
        <w:widowControl w:val="0"/>
        <w:autoSpaceDE w:val="0"/>
        <w:autoSpaceDN w:val="0"/>
        <w:jc w:val="both"/>
        <w:rPr>
          <w:rFonts w:ascii="Times New Roman" w:eastAsia="Times New Roman" w:hAnsi="Times New Roman" w:cs="Times New Roman"/>
          <w:snapToGrid w:val="0"/>
          <w:sz w:val="24"/>
          <w:szCs w:val="24"/>
          <w:lang w:eastAsia="tr-TR"/>
        </w:rPr>
      </w:pPr>
    </w:p>
    <w:p w:rsidR="00650345" w:rsidRPr="00650345" w:rsidRDefault="00650345" w:rsidP="0065034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Sayı: 17</w:t>
      </w:r>
      <w:r w:rsidRPr="00650345">
        <w:rPr>
          <w:rFonts w:ascii="Times New Roman" w:eastAsia="Times New Roman" w:hAnsi="Times New Roman" w:cs="Times New Roman"/>
          <w:sz w:val="24"/>
          <w:szCs w:val="24"/>
        </w:rPr>
        <w:t>/2021</w:t>
      </w:r>
    </w:p>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p>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p>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GENEL TARIM SİGORTASI FONU</w:t>
      </w:r>
    </w:p>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2021 MALİ YILI BÜTÇE YASA</w:t>
      </w:r>
      <w:r>
        <w:rPr>
          <w:rFonts w:ascii="Times New Roman" w:eastAsia="Times New Roman" w:hAnsi="Times New Roman" w:cs="Times New Roman"/>
          <w:sz w:val="24"/>
          <w:szCs w:val="24"/>
          <w:lang w:eastAsia="tr-TR"/>
        </w:rPr>
        <w:t xml:space="preserve">SI </w:t>
      </w:r>
    </w:p>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bookmarkStart w:id="0" w:name="_GoBack"/>
      <w:bookmarkEnd w:id="0"/>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p>
    <w:tbl>
      <w:tblPr>
        <w:tblW w:w="13140" w:type="dxa"/>
        <w:tblInd w:w="18" w:type="dxa"/>
        <w:tblLayout w:type="fixed"/>
        <w:tblLook w:val="01E0" w:firstRow="1" w:lastRow="1" w:firstColumn="1" w:lastColumn="1" w:noHBand="0" w:noVBand="0"/>
      </w:tblPr>
      <w:tblGrid>
        <w:gridCol w:w="1890"/>
        <w:gridCol w:w="11250"/>
      </w:tblGrid>
      <w:tr w:rsidR="00650345" w:rsidRPr="00650345" w:rsidTr="000134CA">
        <w:tc>
          <w:tcPr>
            <w:tcW w:w="1890"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1250"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Kuzey Kıbrıs Türk Cumhuriyeti Cumhuriyet Meclisi aşağıdaki Yasayı yapar:</w:t>
            </w:r>
          </w:p>
          <w:p w:rsidR="00650345" w:rsidRPr="00650345" w:rsidRDefault="00650345" w:rsidP="00650345">
            <w:pPr>
              <w:spacing w:after="0" w:line="240" w:lineRule="auto"/>
              <w:ind w:left="295"/>
              <w:rPr>
                <w:rFonts w:ascii="Times New Roman" w:eastAsia="Times New Roman" w:hAnsi="Times New Roman" w:cs="Times New Roman"/>
                <w:sz w:val="24"/>
                <w:szCs w:val="24"/>
                <w:lang w:eastAsia="tr-TR"/>
              </w:rPr>
            </w:pPr>
          </w:p>
        </w:tc>
      </w:tr>
      <w:tr w:rsidR="00650345" w:rsidRPr="00650345" w:rsidTr="000134CA">
        <w:tc>
          <w:tcPr>
            <w:tcW w:w="1890"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Kısa İsim</w:t>
            </w:r>
          </w:p>
        </w:tc>
        <w:tc>
          <w:tcPr>
            <w:tcW w:w="11250"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 Bu Yasa, Genel Tarım Sigortası Fonu 2021 Mali Yılı Bütçe Yasası olarak isimlendirilir.</w:t>
            </w:r>
          </w:p>
        </w:tc>
      </w:tr>
      <w:tr w:rsidR="00650345" w:rsidRPr="00650345" w:rsidTr="000134CA">
        <w:tc>
          <w:tcPr>
            <w:tcW w:w="1890"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1250" w:type="dxa"/>
            <w:shd w:val="clear" w:color="auto" w:fill="auto"/>
          </w:tcPr>
          <w:p w:rsidR="00650345" w:rsidRPr="00650345" w:rsidRDefault="00650345" w:rsidP="00650345">
            <w:pPr>
              <w:spacing w:after="0" w:line="240" w:lineRule="auto"/>
              <w:ind w:left="295"/>
              <w:rPr>
                <w:rFonts w:ascii="Times New Roman" w:eastAsia="Times New Roman" w:hAnsi="Times New Roman" w:cs="Times New Roman"/>
                <w:sz w:val="24"/>
                <w:szCs w:val="24"/>
                <w:lang w:eastAsia="tr-TR"/>
              </w:rPr>
            </w:pPr>
          </w:p>
        </w:tc>
      </w:tr>
      <w:tr w:rsidR="00650345" w:rsidRPr="00650345" w:rsidTr="000134CA">
        <w:tc>
          <w:tcPr>
            <w:tcW w:w="13140" w:type="dxa"/>
            <w:gridSpan w:val="2"/>
            <w:shd w:val="clear" w:color="auto" w:fill="auto"/>
            <w:vAlign w:val="center"/>
          </w:tcPr>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BİRİNCİ KISIM</w:t>
            </w:r>
          </w:p>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Genel Kurallar</w:t>
            </w:r>
          </w:p>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p>
        </w:tc>
      </w:tr>
      <w:tr w:rsidR="00650345" w:rsidRPr="00650345" w:rsidTr="000134CA">
        <w:tc>
          <w:tcPr>
            <w:tcW w:w="1890"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1250" w:type="dxa"/>
            <w:shd w:val="clear" w:color="auto" w:fill="auto"/>
          </w:tcPr>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p>
        </w:tc>
      </w:tr>
      <w:tr w:rsidR="00650345" w:rsidRPr="00650345" w:rsidTr="000134CA">
        <w:tc>
          <w:tcPr>
            <w:tcW w:w="1890"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31 Aralık 2021</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Tarihinde Sona Erecek</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Olan Mali Yıl Hizmetleri İçin Tahsis Edilen </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Ödenek “A”, “C” ve</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“D” Cetvelleri</w:t>
            </w:r>
          </w:p>
        </w:tc>
        <w:tc>
          <w:tcPr>
            <w:tcW w:w="11250" w:type="dxa"/>
            <w:shd w:val="clear" w:color="auto" w:fill="auto"/>
          </w:tcPr>
          <w:p w:rsidR="00650345" w:rsidRPr="00650345" w:rsidRDefault="00650345" w:rsidP="00650345">
            <w:pPr>
              <w:spacing w:after="0" w:line="240" w:lineRule="auto"/>
              <w:ind w:left="-65"/>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2. Genel Tarım Sigortası Fonunun 1 Ocak 2021 tarihinde başlayan ve 31 Aralık 2021 tarihinde sona erecek olan 2021 Mali Yılında bu Yasaya Ek’li “A”, “C” ve “D” ( Ödenekler, Kadrolar ve Araçlar) Cetvellerinde saptanan hizmet ve faaliyetlerin yürütülebilmesi için 74,300,000.-TL (Yetmiş Dört Milyon, Üç Yüz Bin Türk Lirası) ödenek tahsis edilir.</w:t>
            </w:r>
          </w:p>
        </w:tc>
      </w:tr>
      <w:tr w:rsidR="00650345" w:rsidRPr="00650345" w:rsidTr="000134CA">
        <w:tc>
          <w:tcPr>
            <w:tcW w:w="1890"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1250"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r>
      <w:tr w:rsidR="00650345" w:rsidRPr="00650345" w:rsidTr="000134CA">
        <w:tc>
          <w:tcPr>
            <w:tcW w:w="1890"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Bütçenin Finasmanı</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lastRenderedPageBreak/>
              <w:t>“B” Cetveli</w:t>
            </w:r>
          </w:p>
        </w:tc>
        <w:tc>
          <w:tcPr>
            <w:tcW w:w="11250" w:type="dxa"/>
            <w:shd w:val="clear" w:color="auto" w:fill="auto"/>
          </w:tcPr>
          <w:p w:rsidR="00650345" w:rsidRPr="00650345" w:rsidRDefault="00650345" w:rsidP="00650345">
            <w:pPr>
              <w:spacing w:after="0" w:line="240" w:lineRule="auto"/>
              <w:ind w:left="-65"/>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lastRenderedPageBreak/>
              <w:t>3. Bütçenin finansmanı için, bu Yasaya ekli “B” (Gelirler) Cetvelinde saptanan kaynaklardan toplam              74,300,000.-TL (Yetmiş Dört Milyon, Üç Yüz Bin Türk Lirası) öz gelir öngörülmüştür.</w:t>
            </w:r>
          </w:p>
        </w:tc>
      </w:tr>
      <w:tr w:rsidR="00650345" w:rsidRPr="00650345" w:rsidTr="000134CA">
        <w:tc>
          <w:tcPr>
            <w:tcW w:w="1890"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1250"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r>
    </w:tbl>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br w:type="page"/>
      </w:r>
    </w:p>
    <w:tbl>
      <w:tblPr>
        <w:tblW w:w="13140" w:type="dxa"/>
        <w:tblInd w:w="18" w:type="dxa"/>
        <w:tblLayout w:type="fixed"/>
        <w:tblLook w:val="01E0" w:firstRow="1" w:lastRow="1" w:firstColumn="1" w:lastColumn="1" w:noHBand="0" w:noVBand="0"/>
      </w:tblPr>
      <w:tblGrid>
        <w:gridCol w:w="1890"/>
        <w:gridCol w:w="11250"/>
      </w:tblGrid>
      <w:tr w:rsidR="00650345" w:rsidRPr="00650345" w:rsidTr="000134CA">
        <w:trPr>
          <w:trHeight w:val="80"/>
        </w:trPr>
        <w:tc>
          <w:tcPr>
            <w:tcW w:w="1890"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lastRenderedPageBreak/>
              <w:t>Cetveller</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1250" w:type="dxa"/>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4. Genel Tarım Sigortası Fonu 2021 Mali Yılı Bütçe Yasası aşağıdaki Cetvellerden oluşur:</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“A” Cetveli............................................Ödenekler</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“B” Cetveli............................................Gelirler</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“C” Cetveli............................................Kadrolar</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“D” Cetveli............................................Araçlar</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“E” Cetveli............................................Harcamaya İlişkin Formül (Eko-Rehber)</w:t>
            </w:r>
          </w:p>
        </w:tc>
      </w:tr>
    </w:tbl>
    <w:p w:rsidR="00650345" w:rsidRPr="00650345" w:rsidRDefault="00650345" w:rsidP="00650345">
      <w:pPr>
        <w:spacing w:after="0" w:line="240" w:lineRule="auto"/>
        <w:rPr>
          <w:rFonts w:ascii="Times New Roman" w:eastAsia="Times New Roman" w:hAnsi="Times New Roman" w:cs="Times New Roman"/>
          <w:sz w:val="24"/>
          <w:szCs w:val="24"/>
          <w:lang w:eastAsia="tr-TR"/>
        </w:rPr>
      </w:pPr>
    </w:p>
    <w:tbl>
      <w:tblPr>
        <w:tblpPr w:leftFromText="180" w:rightFromText="180" w:vertAnchor="text" w:tblpY="1"/>
        <w:tblOverlap w:val="never"/>
        <w:tblW w:w="13140" w:type="dxa"/>
        <w:tblInd w:w="18" w:type="dxa"/>
        <w:tblLayout w:type="fixed"/>
        <w:tblLook w:val="01E0" w:firstRow="1" w:lastRow="1" w:firstColumn="1" w:lastColumn="1" w:noHBand="0" w:noVBand="0"/>
      </w:tblPr>
      <w:tblGrid>
        <w:gridCol w:w="1889"/>
        <w:gridCol w:w="44"/>
        <w:gridCol w:w="425"/>
        <w:gridCol w:w="71"/>
        <w:gridCol w:w="496"/>
        <w:gridCol w:w="44"/>
        <w:gridCol w:w="10171"/>
      </w:tblGrid>
      <w:tr w:rsidR="00650345" w:rsidRPr="00650345" w:rsidTr="000134CA">
        <w:trPr>
          <w:trHeight w:val="306"/>
        </w:trPr>
        <w:tc>
          <w:tcPr>
            <w:tcW w:w="1889"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Analitik Bütçe</w:t>
            </w:r>
          </w:p>
        </w:tc>
        <w:tc>
          <w:tcPr>
            <w:tcW w:w="11251" w:type="dxa"/>
            <w:gridSpan w:val="6"/>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5. Genel Tarım Sigortası Fonu 2021 Mali Yılı Analitik Bütçe Sınıflandırması aşağıdaki şekilde düzenlenmiştir:</w:t>
            </w:r>
          </w:p>
        </w:tc>
      </w:tr>
      <w:tr w:rsidR="00650345" w:rsidRPr="00650345" w:rsidTr="000134CA">
        <w:trPr>
          <w:trHeight w:val="306"/>
        </w:trPr>
        <w:tc>
          <w:tcPr>
            <w:tcW w:w="1889"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Sınıflandırması</w:t>
            </w:r>
          </w:p>
        </w:tc>
        <w:tc>
          <w:tcPr>
            <w:tcW w:w="540" w:type="dxa"/>
            <w:gridSpan w:val="3"/>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40" w:type="dxa"/>
            <w:gridSpan w:val="2"/>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w:t>
            </w:r>
          </w:p>
        </w:tc>
        <w:tc>
          <w:tcPr>
            <w:tcW w:w="10171" w:type="dxa"/>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Kurumsal Sınıflandırma: Birinci Düzeyde Genel Tarım Sigortası Fonu yer almaktadır.</w:t>
            </w:r>
          </w:p>
        </w:tc>
      </w:tr>
      <w:tr w:rsidR="00650345" w:rsidRPr="00650345" w:rsidTr="000134CA">
        <w:trPr>
          <w:trHeight w:val="306"/>
        </w:trPr>
        <w:tc>
          <w:tcPr>
            <w:tcW w:w="1889"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“E” Cetveli</w:t>
            </w:r>
          </w:p>
        </w:tc>
        <w:tc>
          <w:tcPr>
            <w:tcW w:w="540" w:type="dxa"/>
            <w:gridSpan w:val="3"/>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40" w:type="dxa"/>
            <w:gridSpan w:val="2"/>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(2)</w:t>
            </w:r>
          </w:p>
        </w:tc>
        <w:tc>
          <w:tcPr>
            <w:tcW w:w="10171" w:type="dxa"/>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Fonksiyonel Sınıflandırma: Genel Tarım Sigortası Fonunun faaliyetlerinin işlevini göstermektedir.</w:t>
            </w:r>
          </w:p>
        </w:tc>
      </w:tr>
      <w:tr w:rsidR="00650345" w:rsidRPr="00650345" w:rsidTr="000134CA">
        <w:trPr>
          <w:trHeight w:val="306"/>
        </w:trPr>
        <w:tc>
          <w:tcPr>
            <w:tcW w:w="1889"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40" w:type="dxa"/>
            <w:gridSpan w:val="3"/>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40" w:type="dxa"/>
            <w:gridSpan w:val="2"/>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(3)</w:t>
            </w:r>
          </w:p>
        </w:tc>
        <w:tc>
          <w:tcPr>
            <w:tcW w:w="10171" w:type="dxa"/>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Finansal Sınıflandırma: Yapılan harcamaların hangi kaynaktan finanse edildiğini göstermektedir.</w:t>
            </w:r>
          </w:p>
        </w:tc>
      </w:tr>
      <w:tr w:rsidR="00650345" w:rsidRPr="00650345" w:rsidTr="000134CA">
        <w:trPr>
          <w:trHeight w:val="306"/>
        </w:trPr>
        <w:tc>
          <w:tcPr>
            <w:tcW w:w="1889" w:type="dxa"/>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40" w:type="dxa"/>
            <w:gridSpan w:val="3"/>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40" w:type="dxa"/>
            <w:gridSpan w:val="2"/>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(4)</w:t>
            </w:r>
          </w:p>
        </w:tc>
        <w:tc>
          <w:tcPr>
            <w:tcW w:w="10171" w:type="dxa"/>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Ekonomik Sınıflandırma: Ödeneklerin ekonomik sınıflandırılmasını göstermektedir ve detaylı açıklamaları bu Yasaya ekli “E” Cetveli Eko- Rehberde yer almaktadır.</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p>
        </w:tc>
      </w:tr>
      <w:tr w:rsidR="00650345" w:rsidRPr="00650345" w:rsidTr="000134CA">
        <w:trPr>
          <w:trHeight w:val="306"/>
        </w:trPr>
        <w:tc>
          <w:tcPr>
            <w:tcW w:w="13140" w:type="dxa"/>
            <w:gridSpan w:val="7"/>
            <w:shd w:val="clear" w:color="auto" w:fill="auto"/>
          </w:tcPr>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İKİNCİ KISIM</w:t>
            </w:r>
          </w:p>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Gelirler ve Cari Harcamalara İlişkin Uygulama Kuralları</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3"/>
        </w:trPr>
        <w:tc>
          <w:tcPr>
            <w:tcW w:w="1933"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Bütçe Gelirleri</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6. </w:t>
            </w: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(1)                  </w:t>
            </w: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Genel Tarım Sigortası Fon sigorta primleri gelirleri ve bu Yasanın 11’inci maddesi uyarınca gerçekleşecek iç ve dış ayni ve nakdi yardım gelirleri, Genel Tarım Sigortası Fonu Bütçesine gelir olarak kaydedilir.                     </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933"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(2)</w:t>
            </w: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Bütçede öngörülmediği halde cari yıl içinde ortaya çıkan gelirler, Tarım İşleriyle Görevli Bakan tarafından Bütçeye yeni gelir kalemi olarak eklenir.</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933"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val="restart"/>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Harcamalarda </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Usul</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20/2016</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40/1982     </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47/1995</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lastRenderedPageBreak/>
              <w:t>EK III</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A.E.207</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19.4.1985</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A.E.590</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17.10.1986</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A.E.786 29.12.2010</w:t>
            </w:r>
          </w:p>
        </w:tc>
        <w:tc>
          <w:tcPr>
            <w:tcW w:w="425" w:type="dxa"/>
            <w:vMerge w:val="restart"/>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lastRenderedPageBreak/>
              <w:t>7.</w:t>
            </w: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w:t>
            </w: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2021 Mali Yılı Bütçesinde öngörülen ödenekler aşılamaz.</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933" w:type="dxa"/>
            <w:gridSpan w:val="2"/>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(2)</w:t>
            </w: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Harcamalar, Kamu İhale Yasası ile Genel Tarım Sigortası Yasasının 13’üncü maddesi uyarınca çıkarılan ve Bakanlar Kurulunca onaylanan Genel Tarım Sigortası Fonunun Mali İşler Tüzüğüne göre yapılır.</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933" w:type="dxa"/>
            <w:gridSpan w:val="2"/>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(3)</w:t>
            </w: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Fonun Satın Alma ve Satış Yapma Yönetmeliğinin 3’üncü maddesinin (1)’inci fıkrası uyarınca, Fon Müdürünün ihalesiz her türlü  demirbaş, malzeme alım ve satımları ile hizmet alımları yetkisi, 2021 Mali Yılında 25,000.-TL (Yirmi Beş Bin Türk Lirası) olarak belirlenmiştir.</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3"/>
        </w:trPr>
        <w:tc>
          <w:tcPr>
            <w:tcW w:w="1933" w:type="dxa"/>
            <w:gridSpan w:val="2"/>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(4)</w:t>
            </w: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Fonun Satın Alma ve Satış Yapma Yönetmeliğinin 3’üncü maddesinin (2)’nci fıkrası uyarınca Fon Yönetim Kurulunun ihalesiz her türlü demirbaş, malzeme alım ve satımları ile hizmet alımları yetkisi, 2021 Mali Yılında 35,000.- TL (Otuz Beş Bin Türk Lirası) olarak belirlenmiştir.</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933" w:type="dxa"/>
            <w:gridSpan w:val="2"/>
            <w:vMerge w:val="restart"/>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val="restart"/>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(5)</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w:t>
            </w: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Fon binası yapım ve onarımlarında, Fon Müdürünün ihalesiz harcama yetkisi, yapım ve onarımlar için 2021 Mali Yılında 45,000.-TL (Kırk Beş Bin Türk Lirası) olarak belirlenmiştir.</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Aktarma Kuralları</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8.</w:t>
            </w: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Ekonomik sınıflandırmada bulunan kalemler arası aktarmalar, yeni ihdas kalemleri dahil, Genel Tarım Sigortası Müdürü ve Yönetim Kurulunun önerisi üzerine Tarım İşleriyle Görevli Bakanın onayı ile gerçekleştirilir.</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val="restart"/>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val="restart"/>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(2)</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Aktarma önerileri, Genel Tarım Sigortası Müdürünün ve Yönetim Kurulunun önerisi üzerine Tarım İşleriyle Görevli Bakanlığa gönderilir ve Bakanlık öneriyi gerekli işleme koyar.</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(3)    </w:t>
            </w: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Ekonomik sınıflandırmada herhangi bir madde altında öngörülen bir hizmetin yerine getirilmemesi nedeniyle kullanılmayan ödenek, Tarım İşleriyle Görevli Bakanın uygun görüşü alınmadıkça başka bir ödenek kalemine aktarılamaz.</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(4)</w:t>
            </w: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Aktarma veya ek ödenek, usulüne uygun olarak onaylanmadıkça Bütçe borçlandırılamaz ve yükümlülük altına girilemez.  </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(5)</w:t>
            </w: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Maaş, ücret ve diğer özlük hakları ödeneklerinden başka bir amaç için kullanılmak üzere aktarma yapılamaz.</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(6) </w:t>
            </w: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Bütçede öngörülen bir ödeneğin %50’sinden fazla miktarının aktarılması Yönetim Kurulu Kararı ve Tarım İşleriyle Görevli Bakanının onayı ile olur.</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(7)</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Aktarma suretiyle ödeneği azaltılan bir kaleme veya aktarma suretiyle ödeneği artırılan bir kalemden başka bir kaleme aktarma yapılamaz.</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(8)</w:t>
            </w: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Bütçede öngörülen temsil giderleri ödeneği, başka bir ödenekten aktarma yapmak suretiyle artırılamaz.     </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(9)</w:t>
            </w: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Bütçede öngörülen III. Düzey Tarımsal Amaçlı Transferler ödeneğinden başka bir kaleme aktarma yapılamaz.</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Ancak bu başlık altında öngörülen ödeneklerden kendi aralarında aktarma yapılabilir.</w:t>
            </w:r>
          </w:p>
        </w:tc>
      </w:tr>
      <w:tr w:rsidR="00650345" w:rsidRPr="00650345" w:rsidTr="0001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0215" w:type="dxa"/>
            <w:gridSpan w:val="2"/>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p>
        </w:tc>
      </w:tr>
    </w:tbl>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br w:type="page"/>
      </w:r>
    </w:p>
    <w:tbl>
      <w:tblPr>
        <w:tblpPr w:leftFromText="180" w:rightFromText="180" w:vertAnchor="text" w:tblpY="1"/>
        <w:tblOverlap w:val="neve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1207"/>
      </w:tblGrid>
      <w:tr w:rsidR="00650345" w:rsidRPr="00650345" w:rsidTr="000134CA">
        <w:tc>
          <w:tcPr>
            <w:tcW w:w="1933"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lastRenderedPageBreak/>
              <w:t>Geçen Yıllar</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Borçlarına Ait</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Ödemeler</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1207" w:type="dxa"/>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9. İlgili mali yılın sonuna kadar ödenmediği ve zaman aşımına uğramamış olan geçmiş yıllar borçlarına ve  tazminatlarına ait ödemeler  hizmetlerin yürütüldüğü ilgili ödeneklerden yapılır.</w:t>
            </w:r>
          </w:p>
        </w:tc>
      </w:tr>
    </w:tbl>
    <w:p w:rsidR="00650345" w:rsidRPr="00650345" w:rsidRDefault="00650345" w:rsidP="00650345">
      <w:pPr>
        <w:spacing w:after="0" w:line="240" w:lineRule="auto"/>
        <w:rPr>
          <w:rFonts w:ascii="Times New Roman" w:eastAsia="Times New Roman" w:hAnsi="Times New Roman" w:cs="Times New Roman"/>
          <w:vanish/>
          <w:sz w:val="24"/>
          <w:szCs w:val="24"/>
          <w:lang w:eastAsia="tr-TR"/>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823"/>
        <w:gridCol w:w="517"/>
        <w:gridCol w:w="496"/>
        <w:gridCol w:w="10304"/>
      </w:tblGrid>
      <w:tr w:rsidR="00650345" w:rsidRPr="00650345" w:rsidTr="000134CA">
        <w:trPr>
          <w:gridBefore w:val="1"/>
          <w:wBefore w:w="18" w:type="dxa"/>
          <w:trHeight w:val="633"/>
        </w:trPr>
        <w:tc>
          <w:tcPr>
            <w:tcW w:w="13140" w:type="dxa"/>
            <w:gridSpan w:val="4"/>
            <w:tcBorders>
              <w:top w:val="nil"/>
              <w:left w:val="nil"/>
              <w:bottom w:val="nil"/>
              <w:right w:val="nil"/>
            </w:tcBorders>
            <w:shd w:val="clear" w:color="auto" w:fill="auto"/>
          </w:tcPr>
          <w:p w:rsidR="00650345" w:rsidRPr="00650345" w:rsidRDefault="00650345" w:rsidP="00650345">
            <w:pPr>
              <w:tabs>
                <w:tab w:val="left" w:pos="4980"/>
              </w:tabs>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b/>
            </w:r>
          </w:p>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ÜÇÜNCÜ KISIM</w:t>
            </w:r>
          </w:p>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Personel Rejimi ve Ek Ödenek</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p>
        </w:tc>
      </w:tr>
      <w:tr w:rsidR="00650345" w:rsidRPr="00650345" w:rsidTr="000134CA">
        <w:trPr>
          <w:gridBefore w:val="1"/>
          <w:wBefore w:w="18" w:type="dxa"/>
        </w:trPr>
        <w:tc>
          <w:tcPr>
            <w:tcW w:w="1823" w:type="dxa"/>
            <w:vMerge w:val="restart"/>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Personel İstihdamı</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Maaş, Ödenek,</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Ve Özlük </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Hakları</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40/1982</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47/1995</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EK III</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A.E.379</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7.10.1983</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A.E.366</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18.7.1984</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A.E.343</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7.7.1985</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 612</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28.10.1986</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A.E.453</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8.8.1987</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A.E.68</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10.2.1989</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A.E.326</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12.7.1993</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A.E.246     </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26.3.1997</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 754</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lastRenderedPageBreak/>
              <w:t>30.11.2001</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A.E.138</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14.3.2002</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A.E.296</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14.5.2002</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A.E.326</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17.6.2004</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16/1999</w:t>
            </w:r>
          </w:p>
        </w:tc>
        <w:tc>
          <w:tcPr>
            <w:tcW w:w="517" w:type="dxa"/>
            <w:vMerge w:val="restart"/>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lastRenderedPageBreak/>
              <w:t>10.</w:t>
            </w:r>
          </w:p>
        </w:tc>
        <w:tc>
          <w:tcPr>
            <w:tcW w:w="496"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w:t>
            </w:r>
          </w:p>
        </w:tc>
        <w:tc>
          <w:tcPr>
            <w:tcW w:w="10304" w:type="dxa"/>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Personelin maaş, ödenek ve özlük hakları ile personel istihdamında, Genel Tarım Sigortası Yasasının 8’inci maddesi uyarınca çıkarılan Genel Tarım Sigortası Fonu Personel Tüzüğü kuralları uygulanır. Personele uygulanacak  maaşlar için, kamu görevlilerine uygulanan maaş baremleri esas alınır.</w:t>
            </w:r>
          </w:p>
        </w:tc>
      </w:tr>
      <w:tr w:rsidR="00650345" w:rsidRPr="00650345" w:rsidTr="000134CA">
        <w:trPr>
          <w:gridBefore w:val="1"/>
          <w:wBefore w:w="18" w:type="dxa"/>
        </w:trPr>
        <w:tc>
          <w:tcPr>
            <w:tcW w:w="1823" w:type="dxa"/>
            <w:vMerge/>
            <w:tcBorders>
              <w:top w:val="nil"/>
              <w:left w:val="nil"/>
              <w:bottom w:val="nil"/>
              <w:right w:val="nil"/>
            </w:tcBorders>
            <w:shd w:val="clear" w:color="auto" w:fill="auto"/>
          </w:tcPr>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p>
        </w:tc>
        <w:tc>
          <w:tcPr>
            <w:tcW w:w="517"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96"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(2)</w:t>
            </w:r>
          </w:p>
        </w:tc>
        <w:tc>
          <w:tcPr>
            <w:tcW w:w="10304"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Bütçede kadrosu ve ödeneği olmadan herhangi bir tayin, terfi ve barem ayarlaması yapılamaz.</w:t>
            </w:r>
          </w:p>
        </w:tc>
      </w:tr>
      <w:tr w:rsidR="00650345" w:rsidRPr="00650345" w:rsidTr="000134CA">
        <w:trPr>
          <w:gridBefore w:val="1"/>
          <w:wBefore w:w="18" w:type="dxa"/>
        </w:trPr>
        <w:tc>
          <w:tcPr>
            <w:tcW w:w="1823" w:type="dxa"/>
            <w:vMerge/>
            <w:tcBorders>
              <w:top w:val="nil"/>
              <w:left w:val="nil"/>
              <w:bottom w:val="nil"/>
              <w:right w:val="nil"/>
            </w:tcBorders>
            <w:shd w:val="clear" w:color="auto" w:fill="auto"/>
          </w:tcPr>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p>
        </w:tc>
        <w:tc>
          <w:tcPr>
            <w:tcW w:w="517"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96"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(3)</w:t>
            </w:r>
          </w:p>
        </w:tc>
        <w:tc>
          <w:tcPr>
            <w:tcW w:w="10304" w:type="dxa"/>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Sebebi ve gerekçesi ne olursa olsun geriye dönük atama yapılamaz ve herhangi bir ödemede bulunulamaz.</w:t>
            </w:r>
          </w:p>
        </w:tc>
      </w:tr>
      <w:tr w:rsidR="00650345" w:rsidRPr="00650345" w:rsidTr="000134CA">
        <w:trPr>
          <w:gridBefore w:val="1"/>
          <w:wBefore w:w="18" w:type="dxa"/>
          <w:trHeight w:val="633"/>
        </w:trPr>
        <w:tc>
          <w:tcPr>
            <w:tcW w:w="1823" w:type="dxa"/>
            <w:vMerge/>
            <w:tcBorders>
              <w:top w:val="nil"/>
              <w:left w:val="nil"/>
              <w:bottom w:val="nil"/>
              <w:right w:val="nil"/>
            </w:tcBorders>
            <w:shd w:val="clear" w:color="auto" w:fill="auto"/>
          </w:tcPr>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p>
        </w:tc>
        <w:tc>
          <w:tcPr>
            <w:tcW w:w="517"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96"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(4) </w:t>
            </w:r>
          </w:p>
        </w:tc>
        <w:tc>
          <w:tcPr>
            <w:tcW w:w="10304" w:type="dxa"/>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Bütçenin Hazırlanması ve Uygulanmasına İlişkin Kurallar Yasasının 27’nci maddesinin (2)’nci fıkrası kurallarına bakılmaksızın, bütçede öngörülen veya yıl içerisinde herhangi bir sebeple münhal düşen kadroların karşılarında “münhal” sözcüğü yazılı olup olmadığına ve hangi statüde alınacağına bakılmaksızın mali olanaklar elverdiği ölçüde Fona bir yıl içinde yeni istihdam edilecek toplam personel sayısı, Fondan emekli olanların sayısını aşamayacak kadardır. Maliye İşleriyle Görevli Bakanlıktan istihdam için yetki talebinde bulunulması gerekmektedir.</w:t>
            </w:r>
          </w:p>
        </w:tc>
      </w:tr>
      <w:tr w:rsidR="00650345" w:rsidRPr="00650345" w:rsidTr="000134CA">
        <w:trPr>
          <w:gridBefore w:val="1"/>
          <w:wBefore w:w="18" w:type="dxa"/>
          <w:trHeight w:val="207"/>
        </w:trPr>
        <w:tc>
          <w:tcPr>
            <w:tcW w:w="1823"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1317" w:type="dxa"/>
            <w:gridSpan w:val="3"/>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p>
        </w:tc>
      </w:tr>
      <w:tr w:rsidR="00650345" w:rsidRPr="00650345" w:rsidTr="000134CA">
        <w:trPr>
          <w:gridBefore w:val="1"/>
          <w:wBefore w:w="18" w:type="dxa"/>
          <w:trHeight w:val="623"/>
        </w:trPr>
        <w:tc>
          <w:tcPr>
            <w:tcW w:w="1823"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Bakanlar Kurulunun</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Ek Ödenek Yetkisi</w:t>
            </w:r>
          </w:p>
        </w:tc>
        <w:tc>
          <w:tcPr>
            <w:tcW w:w="11317" w:type="dxa"/>
            <w:gridSpan w:val="3"/>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11. Belirli bir hizmetin yerine getirilebilmesi için şartlı olarak Fona yapılan bağışlar, Bütçenin Gelirler Cetveline gelir kaydedilerek, Bütçenin ilgili kalemlerine gelir ve gider kaydı, Bakanlar Kurulunun onayı ile yapılır.         </w:t>
            </w:r>
          </w:p>
        </w:tc>
      </w:tr>
      <w:tr w:rsidR="00650345" w:rsidRPr="00650345" w:rsidTr="000134CA">
        <w:trPr>
          <w:gridBefore w:val="1"/>
          <w:wBefore w:w="18" w:type="dxa"/>
          <w:trHeight w:val="623"/>
        </w:trPr>
        <w:tc>
          <w:tcPr>
            <w:tcW w:w="13140" w:type="dxa"/>
            <w:gridSpan w:val="4"/>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                                                                                          DÖRDÜNCÜ KISIM</w:t>
            </w:r>
          </w:p>
          <w:p w:rsidR="00650345" w:rsidRPr="00650345" w:rsidRDefault="00650345" w:rsidP="00650345">
            <w:pPr>
              <w:spacing w:after="0" w:line="240" w:lineRule="auto"/>
              <w:jc w:val="center"/>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Son Kurallar</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p>
        </w:tc>
      </w:tr>
      <w:tr w:rsidR="00650345" w:rsidRPr="00650345" w:rsidTr="000134CA">
        <w:tc>
          <w:tcPr>
            <w:tcW w:w="1841"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Denetim</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EK III</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 207</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19.4.1985</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 590</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17.10.1986</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A.E. 786</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29.12.2010</w:t>
            </w:r>
          </w:p>
        </w:tc>
        <w:tc>
          <w:tcPr>
            <w:tcW w:w="11317" w:type="dxa"/>
            <w:gridSpan w:val="3"/>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12. Sayıştay, denetim yasalarının koyduğu yöntem ve kurallarla, bu Yasa ve Genel Tarım Sigortası Fonu Mali İşler</w:t>
            </w:r>
          </w:p>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 xml:space="preserve">Tüzüğünde öngörülen kuralları göz önünde bulundurmak suretiyle, harcamalar ile gelirlerin, Bütçeye ve Bütçe prensiplerine uygun olup olmadığını denetler.                     </w:t>
            </w:r>
          </w:p>
        </w:tc>
      </w:tr>
      <w:tr w:rsidR="00650345" w:rsidRPr="00650345" w:rsidTr="000134CA">
        <w:tc>
          <w:tcPr>
            <w:tcW w:w="1841"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17"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0800"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r>
      <w:tr w:rsidR="00650345" w:rsidRPr="00650345" w:rsidTr="000134CA">
        <w:tc>
          <w:tcPr>
            <w:tcW w:w="1841" w:type="dxa"/>
            <w:gridSpan w:val="2"/>
            <w:vMerge w:val="restart"/>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Hizmet Araçlarının</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Kullanılması</w:t>
            </w:r>
          </w:p>
        </w:tc>
        <w:tc>
          <w:tcPr>
            <w:tcW w:w="517" w:type="dxa"/>
            <w:vMerge w:val="restart"/>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13.</w:t>
            </w:r>
          </w:p>
        </w:tc>
        <w:tc>
          <w:tcPr>
            <w:tcW w:w="496"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w:t>
            </w:r>
          </w:p>
        </w:tc>
        <w:tc>
          <w:tcPr>
            <w:tcW w:w="10304" w:type="dxa"/>
            <w:tcBorders>
              <w:top w:val="nil"/>
              <w:left w:val="nil"/>
              <w:bottom w:val="nil"/>
              <w:right w:val="nil"/>
            </w:tcBorders>
            <w:shd w:val="clear" w:color="auto" w:fill="auto"/>
          </w:tcPr>
          <w:p w:rsidR="00650345" w:rsidRPr="00650345" w:rsidRDefault="00650345" w:rsidP="00650345">
            <w:pPr>
              <w:spacing w:after="0" w:line="240" w:lineRule="auto"/>
              <w:jc w:val="both"/>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Fonun hizmet araçları, yalnız hizmetin gerektirdiği alanlarda ve mesai saatleri içinde kullanılabilir. Hizmet araçlarının mesai saatleri dışında kullanımı zorunlu olduğu hallerde ise Müdürün onayı gerekir.</w:t>
            </w:r>
          </w:p>
        </w:tc>
      </w:tr>
      <w:tr w:rsidR="00650345" w:rsidRPr="00650345" w:rsidTr="000134CA">
        <w:tc>
          <w:tcPr>
            <w:tcW w:w="1841" w:type="dxa"/>
            <w:gridSpan w:val="2"/>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17" w:type="dxa"/>
            <w:vMerge/>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96"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(2)</w:t>
            </w:r>
          </w:p>
        </w:tc>
        <w:tc>
          <w:tcPr>
            <w:tcW w:w="10304"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Hizmet araçları hiçbir şekilde özel amaçlar için kullanılamaz.</w:t>
            </w:r>
          </w:p>
        </w:tc>
      </w:tr>
      <w:tr w:rsidR="00650345" w:rsidRPr="00650345" w:rsidTr="000134CA">
        <w:tc>
          <w:tcPr>
            <w:tcW w:w="1841"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517"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496"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0304" w:type="dxa"/>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r>
      <w:tr w:rsidR="00650345" w:rsidRPr="00650345" w:rsidTr="000134CA">
        <w:tc>
          <w:tcPr>
            <w:tcW w:w="1841" w:type="dxa"/>
            <w:gridSpan w:val="2"/>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Yürürlüğe Giriş</w:t>
            </w:r>
          </w:p>
          <w:p w:rsidR="00650345" w:rsidRPr="00650345" w:rsidRDefault="00650345" w:rsidP="00650345">
            <w:pPr>
              <w:spacing w:after="0" w:line="240" w:lineRule="auto"/>
              <w:rPr>
                <w:rFonts w:ascii="Times New Roman" w:eastAsia="Times New Roman" w:hAnsi="Times New Roman" w:cs="Times New Roman"/>
                <w:sz w:val="24"/>
                <w:szCs w:val="24"/>
                <w:lang w:eastAsia="tr-TR"/>
              </w:rPr>
            </w:pPr>
          </w:p>
        </w:tc>
        <w:tc>
          <w:tcPr>
            <w:tcW w:w="11317" w:type="dxa"/>
            <w:gridSpan w:val="3"/>
            <w:tcBorders>
              <w:top w:val="nil"/>
              <w:left w:val="nil"/>
              <w:bottom w:val="nil"/>
              <w:right w:val="nil"/>
            </w:tcBorders>
            <w:shd w:val="clear" w:color="auto" w:fill="auto"/>
          </w:tcPr>
          <w:p w:rsidR="00650345" w:rsidRPr="00650345" w:rsidRDefault="00650345" w:rsidP="00650345">
            <w:pPr>
              <w:spacing w:after="0" w:line="240" w:lineRule="auto"/>
              <w:rPr>
                <w:rFonts w:ascii="Times New Roman" w:eastAsia="Times New Roman" w:hAnsi="Times New Roman" w:cs="Times New Roman"/>
                <w:sz w:val="24"/>
                <w:szCs w:val="24"/>
                <w:lang w:eastAsia="tr-TR"/>
              </w:rPr>
            </w:pPr>
            <w:r w:rsidRPr="00650345">
              <w:rPr>
                <w:rFonts w:ascii="Times New Roman" w:eastAsia="Times New Roman" w:hAnsi="Times New Roman" w:cs="Times New Roman"/>
                <w:sz w:val="24"/>
                <w:szCs w:val="24"/>
                <w:lang w:eastAsia="tr-TR"/>
              </w:rPr>
              <w:t>14. Bu Yasa, 1 Ocak 2021 tarihinden başlayarak yürürlüğe girer.</w:t>
            </w:r>
          </w:p>
        </w:tc>
      </w:tr>
    </w:tbl>
    <w:p w:rsidR="00650345" w:rsidRPr="00650345" w:rsidRDefault="00650345" w:rsidP="00650345">
      <w:pPr>
        <w:spacing w:after="0" w:line="240" w:lineRule="auto"/>
        <w:rPr>
          <w:rFonts w:ascii="Times New Roman" w:eastAsia="Times New Roman" w:hAnsi="Times New Roman" w:cs="Times New Roman"/>
          <w:sz w:val="24"/>
          <w:szCs w:val="24"/>
          <w:lang w:eastAsia="tr-TR"/>
        </w:rPr>
      </w:pPr>
    </w:p>
    <w:p w:rsidR="00A948A9" w:rsidRDefault="00A948A9"/>
    <w:sectPr w:rsidR="00A948A9" w:rsidSect="0084081E">
      <w:footerReference w:type="even" r:id="rId5"/>
      <w:footerReference w:type="default" r:id="rId6"/>
      <w:pgSz w:w="16838" w:h="11906" w:orient="landscape" w:code="9"/>
      <w:pgMar w:top="1134" w:right="1418" w:bottom="1276" w:left="1418" w:header="709" w:footer="709" w:gutter="567"/>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BC" w:rsidRDefault="00D74E5B" w:rsidP="00316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5BC" w:rsidRDefault="00D74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BC" w:rsidRDefault="00D74E5B" w:rsidP="00316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35BC" w:rsidRDefault="00D74E5B">
    <w:pPr>
      <w:pStyle w:val="Footer"/>
      <w:jc w:val="center"/>
    </w:pPr>
  </w:p>
  <w:p w:rsidR="006935BC" w:rsidRDefault="00D74E5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45"/>
    <w:rsid w:val="00650345"/>
    <w:rsid w:val="00A948A9"/>
    <w:rsid w:val="00D74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034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650345"/>
    <w:rPr>
      <w:rFonts w:ascii="Times New Roman" w:eastAsia="Times New Roman" w:hAnsi="Times New Roman" w:cs="Times New Roman"/>
      <w:sz w:val="24"/>
      <w:szCs w:val="24"/>
      <w:lang w:val="x-none" w:eastAsia="x-none"/>
    </w:rPr>
  </w:style>
  <w:style w:type="character" w:styleId="PageNumber">
    <w:name w:val="page number"/>
    <w:basedOn w:val="DefaultParagraphFont"/>
    <w:rsid w:val="00650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034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650345"/>
    <w:rPr>
      <w:rFonts w:ascii="Times New Roman" w:eastAsia="Times New Roman" w:hAnsi="Times New Roman" w:cs="Times New Roman"/>
      <w:sz w:val="24"/>
      <w:szCs w:val="24"/>
      <w:lang w:val="x-none" w:eastAsia="x-none"/>
    </w:rPr>
  </w:style>
  <w:style w:type="character" w:styleId="PageNumber">
    <w:name w:val="page number"/>
    <w:basedOn w:val="DefaultParagraphFont"/>
    <w:rsid w:val="0065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Feyza Sarıkamış</cp:lastModifiedBy>
  <cp:revision>1</cp:revision>
  <dcterms:created xsi:type="dcterms:W3CDTF">2022-01-24T11:28:00Z</dcterms:created>
  <dcterms:modified xsi:type="dcterms:W3CDTF">2022-01-24T11:42:00Z</dcterms:modified>
</cp:coreProperties>
</file>