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E2D" w:rsidRDefault="007A5E2D" w:rsidP="00A363F2">
      <w:pPr>
        <w:spacing w:after="0" w:line="240" w:lineRule="auto"/>
        <w:jc w:val="center"/>
        <w:rPr>
          <w:rFonts w:ascii="Times New Roman" w:hAnsi="Times New Roman" w:cs="Times New Roman"/>
          <w:bCs/>
          <w:sz w:val="24"/>
          <w:szCs w:val="24"/>
          <w:lang w:eastAsia="x-none"/>
        </w:rPr>
      </w:pPr>
    </w:p>
    <w:p w:rsidR="007A5E2D" w:rsidRPr="007A5E2D" w:rsidRDefault="007A5E2D" w:rsidP="007A5E2D">
      <w:pPr>
        <w:jc w:val="both"/>
        <w:rPr>
          <w:rFonts w:ascii="Times New Roman" w:hAnsi="Times New Roman" w:cs="Times New Roman"/>
          <w:snapToGrid w:val="0"/>
          <w:sz w:val="24"/>
          <w:szCs w:val="24"/>
        </w:rPr>
      </w:pPr>
      <w:r w:rsidRPr="007A5E2D">
        <w:rPr>
          <w:rFonts w:ascii="Times New Roman" w:eastAsia="Calibri" w:hAnsi="Times New Roman" w:cs="Times New Roman"/>
          <w:sz w:val="24"/>
          <w:szCs w:val="24"/>
        </w:rPr>
        <w:t xml:space="preserve">Kuzey Kıbrıs Türk Cumhuriyeti Cumhuriyet Meclisi’nin </w:t>
      </w:r>
      <w:r>
        <w:rPr>
          <w:rFonts w:ascii="Times New Roman" w:eastAsia="Calibri" w:hAnsi="Times New Roman" w:cs="Times New Roman"/>
          <w:sz w:val="24"/>
          <w:szCs w:val="24"/>
        </w:rPr>
        <w:t>22</w:t>
      </w:r>
      <w:r w:rsidRPr="007A5E2D">
        <w:rPr>
          <w:rFonts w:ascii="Times New Roman" w:eastAsia="Calibri" w:hAnsi="Times New Roman" w:cs="Times New Roman"/>
          <w:sz w:val="24"/>
          <w:szCs w:val="24"/>
        </w:rPr>
        <w:t xml:space="preserve"> Kasım 2021 tarihli </w:t>
      </w:r>
      <w:r>
        <w:rPr>
          <w:rFonts w:ascii="Times New Roman" w:eastAsia="Calibri" w:hAnsi="Times New Roman" w:cs="Times New Roman"/>
          <w:sz w:val="24"/>
          <w:szCs w:val="24"/>
        </w:rPr>
        <w:t xml:space="preserve">Ondokuzuncu </w:t>
      </w:r>
      <w:r w:rsidRPr="007A5E2D">
        <w:rPr>
          <w:rFonts w:ascii="Times New Roman" w:eastAsia="Calibri" w:hAnsi="Times New Roman" w:cs="Times New Roman"/>
          <w:sz w:val="24"/>
          <w:szCs w:val="24"/>
        </w:rPr>
        <w:t>Birleşiminde Oy</w:t>
      </w:r>
      <w:r>
        <w:rPr>
          <w:rFonts w:ascii="Times New Roman" w:eastAsia="Calibri" w:hAnsi="Times New Roman" w:cs="Times New Roman"/>
          <w:sz w:val="24"/>
          <w:szCs w:val="24"/>
        </w:rPr>
        <w:t xml:space="preserve">çokluğu </w:t>
      </w:r>
      <w:r w:rsidRPr="007A5E2D">
        <w:rPr>
          <w:rFonts w:ascii="Times New Roman" w:eastAsia="Calibri" w:hAnsi="Times New Roman" w:cs="Times New Roman"/>
          <w:sz w:val="24"/>
          <w:szCs w:val="24"/>
        </w:rPr>
        <w:t>kabul olunan “</w:t>
      </w:r>
      <w:r>
        <w:rPr>
          <w:rFonts w:ascii="Times New Roman" w:eastAsia="Calibri" w:hAnsi="Times New Roman" w:cs="Times New Roman"/>
          <w:sz w:val="24"/>
          <w:szCs w:val="24"/>
        </w:rPr>
        <w:t xml:space="preserve">Toprak Ürünleri Kurumu 2021 Mali Yılı Bütçe </w:t>
      </w:r>
      <w:r w:rsidRPr="007A5E2D">
        <w:rPr>
          <w:rFonts w:ascii="Times New Roman" w:eastAsia="Calibri" w:hAnsi="Times New Roman" w:cs="Times New Roman"/>
          <w:sz w:val="24"/>
          <w:szCs w:val="24"/>
        </w:rPr>
        <w:t>Yasası</w:t>
      </w:r>
      <w:r w:rsidRPr="007A5E2D">
        <w:rPr>
          <w:rFonts w:ascii="Times New Roman" w:hAnsi="Times New Roman" w:cs="Times New Roman"/>
          <w:snapToGrid w:val="0"/>
          <w:sz w:val="24"/>
          <w:szCs w:val="24"/>
        </w:rPr>
        <w:t>”</w:t>
      </w:r>
      <w:r w:rsidRPr="007A5E2D">
        <w:rPr>
          <w:rFonts w:ascii="Times New Roman" w:eastAsia="Calibri" w:hAnsi="Times New Roman" w:cs="Times New Roman"/>
          <w:sz w:val="24"/>
          <w:szCs w:val="24"/>
        </w:rPr>
        <w:t xml:space="preserve"> Anayasanın 94'üncü maddesinin (1)'inci fıkrası gereğince Kuzey Kıbrıs Türk Cumhuriyeti Cumhurbaşkanı tarafından Resmi Gazete'de yayımlanmak suretiyle ilan olunur.</w:t>
      </w:r>
      <w:r w:rsidRPr="007A5E2D">
        <w:rPr>
          <w:rFonts w:ascii="Times New Roman" w:hAnsi="Times New Roman" w:cs="Times New Roman"/>
          <w:bCs/>
          <w:sz w:val="24"/>
          <w:szCs w:val="24"/>
        </w:rPr>
        <w:tab/>
      </w:r>
    </w:p>
    <w:p w:rsidR="007A5E2D" w:rsidRPr="007A5E2D" w:rsidRDefault="007A5E2D" w:rsidP="007A5E2D">
      <w:pPr>
        <w:spacing w:after="0" w:line="240" w:lineRule="auto"/>
        <w:jc w:val="center"/>
        <w:rPr>
          <w:rFonts w:ascii="Times New Roman" w:hAnsi="Times New Roman" w:cs="Times New Roman"/>
          <w:bCs/>
          <w:sz w:val="24"/>
          <w:szCs w:val="24"/>
        </w:rPr>
      </w:pPr>
    </w:p>
    <w:p w:rsidR="007A5E2D" w:rsidRPr="007A5E2D" w:rsidRDefault="007A5E2D" w:rsidP="007A5E2D">
      <w:pPr>
        <w:spacing w:after="0" w:line="240" w:lineRule="auto"/>
        <w:jc w:val="center"/>
        <w:rPr>
          <w:rFonts w:ascii="Times New Roman" w:hAnsi="Times New Roman" w:cs="Times New Roman"/>
          <w:bCs/>
          <w:sz w:val="24"/>
          <w:szCs w:val="24"/>
        </w:rPr>
      </w:pPr>
      <w:r w:rsidRPr="007A5E2D">
        <w:rPr>
          <w:rFonts w:ascii="Times New Roman" w:hAnsi="Times New Roman" w:cs="Times New Roman"/>
          <w:bCs/>
          <w:sz w:val="24"/>
          <w:szCs w:val="24"/>
        </w:rPr>
        <w:t xml:space="preserve">Sayı: </w:t>
      </w:r>
      <w:r>
        <w:rPr>
          <w:rFonts w:ascii="Times New Roman" w:hAnsi="Times New Roman" w:cs="Times New Roman"/>
          <w:bCs/>
          <w:sz w:val="24"/>
          <w:szCs w:val="24"/>
        </w:rPr>
        <w:t>24</w:t>
      </w:r>
      <w:r w:rsidRPr="007A5E2D">
        <w:rPr>
          <w:rFonts w:ascii="Times New Roman" w:hAnsi="Times New Roman" w:cs="Times New Roman"/>
          <w:bCs/>
          <w:sz w:val="24"/>
          <w:szCs w:val="24"/>
        </w:rPr>
        <w:t>/2021</w:t>
      </w:r>
    </w:p>
    <w:p w:rsidR="007A5E2D" w:rsidRPr="007A5E2D" w:rsidRDefault="007A5E2D" w:rsidP="007A5E2D">
      <w:pPr>
        <w:spacing w:after="0" w:line="240" w:lineRule="auto"/>
        <w:jc w:val="center"/>
        <w:rPr>
          <w:rFonts w:ascii="Times New Roman" w:hAnsi="Times New Roman" w:cs="Times New Roman"/>
          <w:sz w:val="24"/>
          <w:szCs w:val="24"/>
          <w:lang w:eastAsia="en-US"/>
        </w:rPr>
      </w:pPr>
    </w:p>
    <w:p w:rsidR="007A5E2D" w:rsidRDefault="007A5E2D" w:rsidP="00A363F2">
      <w:pPr>
        <w:spacing w:after="0" w:line="240" w:lineRule="auto"/>
        <w:jc w:val="center"/>
        <w:rPr>
          <w:rFonts w:ascii="Times New Roman" w:hAnsi="Times New Roman" w:cs="Times New Roman"/>
          <w:bCs/>
          <w:sz w:val="24"/>
          <w:szCs w:val="24"/>
          <w:lang w:eastAsia="x-none"/>
        </w:rPr>
      </w:pPr>
      <w:bookmarkStart w:id="0" w:name="_GoBack"/>
      <w:bookmarkEnd w:id="0"/>
    </w:p>
    <w:p w:rsidR="00A363F2" w:rsidRPr="00226E0B" w:rsidRDefault="00A363F2" w:rsidP="00A363F2">
      <w:pPr>
        <w:spacing w:after="0" w:line="240" w:lineRule="auto"/>
        <w:jc w:val="center"/>
        <w:rPr>
          <w:rFonts w:ascii="Times New Roman" w:hAnsi="Times New Roman" w:cs="Times New Roman"/>
          <w:bCs/>
          <w:sz w:val="24"/>
          <w:szCs w:val="24"/>
          <w:lang w:val="x-none" w:eastAsia="x-none"/>
        </w:rPr>
      </w:pPr>
      <w:r w:rsidRPr="00226E0B">
        <w:rPr>
          <w:rFonts w:ascii="Times New Roman" w:hAnsi="Times New Roman" w:cs="Times New Roman"/>
          <w:bCs/>
          <w:sz w:val="24"/>
          <w:szCs w:val="24"/>
          <w:lang w:val="x-none" w:eastAsia="x-none"/>
        </w:rPr>
        <w:t>TOPRAK ÜRÜNLERİ KURUMU</w:t>
      </w:r>
    </w:p>
    <w:p w:rsidR="00A363F2" w:rsidRPr="00226E0B" w:rsidRDefault="00A363F2" w:rsidP="00A363F2">
      <w:pPr>
        <w:spacing w:after="0" w:line="240" w:lineRule="auto"/>
        <w:jc w:val="center"/>
        <w:rPr>
          <w:rFonts w:ascii="Times New Roman" w:hAnsi="Times New Roman" w:cs="Times New Roman"/>
          <w:bCs/>
          <w:sz w:val="24"/>
          <w:szCs w:val="24"/>
          <w:lang w:val="en-US" w:eastAsia="x-none"/>
        </w:rPr>
      </w:pPr>
      <w:r w:rsidRPr="00226E0B">
        <w:rPr>
          <w:rFonts w:ascii="Times New Roman" w:hAnsi="Times New Roman" w:cs="Times New Roman"/>
          <w:bCs/>
          <w:sz w:val="24"/>
          <w:szCs w:val="24"/>
          <w:lang w:val="x-none" w:eastAsia="x-none"/>
        </w:rPr>
        <w:t>20</w:t>
      </w:r>
      <w:r w:rsidRPr="00226E0B">
        <w:rPr>
          <w:rFonts w:ascii="Times New Roman" w:hAnsi="Times New Roman" w:cs="Times New Roman"/>
          <w:bCs/>
          <w:sz w:val="24"/>
          <w:szCs w:val="24"/>
          <w:lang w:eastAsia="x-none"/>
        </w:rPr>
        <w:t>21</w:t>
      </w:r>
      <w:r w:rsidRPr="00226E0B">
        <w:rPr>
          <w:rFonts w:ascii="Times New Roman" w:hAnsi="Times New Roman" w:cs="Times New Roman"/>
          <w:bCs/>
          <w:sz w:val="24"/>
          <w:szCs w:val="24"/>
          <w:lang w:val="x-none" w:eastAsia="x-none"/>
        </w:rPr>
        <w:t xml:space="preserve"> MALİ YILI BÜTÇE YASA</w:t>
      </w:r>
      <w:r>
        <w:rPr>
          <w:rFonts w:ascii="Times New Roman" w:hAnsi="Times New Roman" w:cs="Times New Roman"/>
          <w:bCs/>
          <w:sz w:val="24"/>
          <w:szCs w:val="24"/>
          <w:lang w:val="en-US" w:eastAsia="x-none"/>
        </w:rPr>
        <w:t>SI</w:t>
      </w:r>
    </w:p>
    <w:p w:rsidR="00A363F2" w:rsidRPr="00226E0B" w:rsidRDefault="00A363F2" w:rsidP="00A363F2">
      <w:pPr>
        <w:spacing w:after="0" w:line="240" w:lineRule="auto"/>
        <w:rPr>
          <w:rFonts w:ascii="Times New Roman" w:hAnsi="Times New Roman" w:cs="Times New Roman"/>
          <w:bCs/>
          <w:noProof/>
          <w:sz w:val="24"/>
          <w:szCs w:val="24"/>
          <w:lang w:eastAsia="en-US"/>
        </w:rPr>
      </w:pPr>
    </w:p>
    <w:tbl>
      <w:tblPr>
        <w:tblW w:w="0" w:type="auto"/>
        <w:tblLook w:val="0000" w:firstRow="0" w:lastRow="0" w:firstColumn="0" w:lastColumn="0" w:noHBand="0" w:noVBand="0"/>
      </w:tblPr>
      <w:tblGrid>
        <w:gridCol w:w="2605"/>
        <w:gridCol w:w="13"/>
        <w:gridCol w:w="10466"/>
      </w:tblGrid>
      <w:tr w:rsidR="00A363F2" w:rsidRPr="00226E0B" w:rsidTr="0071669E">
        <w:tc>
          <w:tcPr>
            <w:tcW w:w="2618" w:type="dxa"/>
            <w:gridSpan w:val="2"/>
          </w:tcPr>
          <w:p w:rsidR="00A363F2" w:rsidRPr="00226E0B" w:rsidRDefault="00A363F2" w:rsidP="0071669E">
            <w:pPr>
              <w:spacing w:after="0" w:line="240" w:lineRule="auto"/>
              <w:rPr>
                <w:rFonts w:ascii="Times New Roman" w:hAnsi="Times New Roman" w:cs="Times New Roman"/>
                <w:noProof/>
                <w:sz w:val="24"/>
                <w:szCs w:val="24"/>
                <w:lang w:eastAsia="en-US"/>
              </w:rPr>
            </w:pPr>
          </w:p>
        </w:tc>
        <w:tc>
          <w:tcPr>
            <w:tcW w:w="10466" w:type="dxa"/>
          </w:tcPr>
          <w:p w:rsidR="00A363F2" w:rsidRPr="00226E0B" w:rsidRDefault="00A363F2" w:rsidP="0071669E">
            <w:pPr>
              <w:spacing w:after="0" w:line="240" w:lineRule="auto"/>
              <w:rPr>
                <w:rFonts w:ascii="Times New Roman" w:hAnsi="Times New Roman" w:cs="Times New Roman"/>
                <w:noProof/>
                <w:sz w:val="24"/>
                <w:szCs w:val="24"/>
                <w:lang w:eastAsia="en-US"/>
              </w:rPr>
            </w:pPr>
            <w:r w:rsidRPr="00226E0B">
              <w:rPr>
                <w:rFonts w:ascii="Times New Roman" w:hAnsi="Times New Roman" w:cs="Times New Roman"/>
                <w:noProof/>
                <w:sz w:val="24"/>
                <w:szCs w:val="24"/>
                <w:lang w:val="en-US" w:eastAsia="en-US"/>
              </w:rPr>
              <w:tab/>
              <w:t xml:space="preserve">    Kuzey Kıbrıs Türk Cumhuriyeti Cumhuriyet Meclisi aşağıdaki Yasayı yapar:</w:t>
            </w:r>
          </w:p>
        </w:tc>
      </w:tr>
      <w:tr w:rsidR="00A363F2" w:rsidRPr="00226E0B" w:rsidTr="0071669E">
        <w:tc>
          <w:tcPr>
            <w:tcW w:w="2618" w:type="dxa"/>
            <w:gridSpan w:val="2"/>
          </w:tcPr>
          <w:p w:rsidR="00A363F2" w:rsidRPr="00226E0B" w:rsidRDefault="00A363F2" w:rsidP="0071669E">
            <w:pPr>
              <w:spacing w:after="0" w:line="240" w:lineRule="auto"/>
              <w:rPr>
                <w:rFonts w:ascii="Times New Roman" w:hAnsi="Times New Roman" w:cs="Times New Roman"/>
                <w:noProof/>
                <w:sz w:val="24"/>
                <w:szCs w:val="24"/>
                <w:lang w:eastAsia="en-US"/>
              </w:rPr>
            </w:pPr>
          </w:p>
        </w:tc>
        <w:tc>
          <w:tcPr>
            <w:tcW w:w="10466" w:type="dxa"/>
          </w:tcPr>
          <w:p w:rsidR="00A363F2" w:rsidRPr="00226E0B" w:rsidRDefault="00A363F2" w:rsidP="0071669E">
            <w:pPr>
              <w:spacing w:after="0" w:line="240" w:lineRule="auto"/>
              <w:rPr>
                <w:rFonts w:ascii="Times New Roman" w:hAnsi="Times New Roman" w:cs="Times New Roman"/>
                <w:noProof/>
                <w:sz w:val="24"/>
                <w:szCs w:val="24"/>
                <w:lang w:eastAsia="en-US"/>
              </w:rPr>
            </w:pPr>
          </w:p>
        </w:tc>
      </w:tr>
      <w:tr w:rsidR="00A363F2" w:rsidRPr="00226E0B" w:rsidTr="0071669E">
        <w:tc>
          <w:tcPr>
            <w:tcW w:w="2618" w:type="dxa"/>
            <w:gridSpan w:val="2"/>
          </w:tcPr>
          <w:p w:rsidR="00A363F2" w:rsidRPr="00226E0B" w:rsidRDefault="00A363F2" w:rsidP="0071669E">
            <w:pPr>
              <w:spacing w:after="0" w:line="240" w:lineRule="auto"/>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Kısa İsim</w:t>
            </w:r>
          </w:p>
        </w:tc>
        <w:tc>
          <w:tcPr>
            <w:tcW w:w="10466" w:type="dxa"/>
          </w:tcPr>
          <w:p w:rsidR="00A363F2" w:rsidRPr="00226E0B" w:rsidRDefault="00A363F2" w:rsidP="0071669E">
            <w:pPr>
              <w:spacing w:after="0" w:line="240" w:lineRule="auto"/>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1. Bu Yasa, Toprak Ürünleri Kurumu 2021 Mali Yılı Bütçe Yasası olarak isimlendirilir.</w:t>
            </w:r>
          </w:p>
          <w:p w:rsidR="00A363F2" w:rsidRPr="00226E0B" w:rsidRDefault="00A363F2" w:rsidP="0071669E">
            <w:pPr>
              <w:spacing w:after="0" w:line="240" w:lineRule="auto"/>
              <w:rPr>
                <w:rFonts w:ascii="Times New Roman" w:hAnsi="Times New Roman" w:cs="Times New Roman"/>
                <w:noProof/>
                <w:sz w:val="24"/>
                <w:szCs w:val="24"/>
                <w:lang w:eastAsia="en-US"/>
              </w:rPr>
            </w:pPr>
          </w:p>
        </w:tc>
      </w:tr>
      <w:tr w:rsidR="00A363F2" w:rsidRPr="00226E0B" w:rsidTr="0071669E">
        <w:tc>
          <w:tcPr>
            <w:tcW w:w="13084" w:type="dxa"/>
            <w:gridSpan w:val="3"/>
          </w:tcPr>
          <w:p w:rsidR="00A363F2" w:rsidRPr="00226E0B" w:rsidRDefault="00A363F2" w:rsidP="0071669E">
            <w:pPr>
              <w:spacing w:after="0" w:line="240" w:lineRule="auto"/>
              <w:jc w:val="center"/>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BİRİNCİ KISIM</w:t>
            </w:r>
          </w:p>
          <w:p w:rsidR="00A363F2" w:rsidRPr="00226E0B" w:rsidRDefault="00A363F2" w:rsidP="0071669E">
            <w:pPr>
              <w:spacing w:after="0" w:line="240" w:lineRule="auto"/>
              <w:jc w:val="center"/>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Genel Kurallar</w:t>
            </w:r>
          </w:p>
          <w:p w:rsidR="00A363F2" w:rsidRPr="00226E0B" w:rsidRDefault="00A363F2" w:rsidP="0071669E">
            <w:pPr>
              <w:spacing w:after="0" w:line="240" w:lineRule="auto"/>
              <w:jc w:val="center"/>
              <w:rPr>
                <w:rFonts w:ascii="Times New Roman" w:hAnsi="Times New Roman" w:cs="Times New Roman"/>
                <w:noProof/>
                <w:sz w:val="24"/>
                <w:szCs w:val="24"/>
                <w:lang w:eastAsia="en-US"/>
              </w:rPr>
            </w:pPr>
          </w:p>
        </w:tc>
      </w:tr>
      <w:tr w:rsidR="00A363F2" w:rsidRPr="00226E0B" w:rsidTr="0071669E">
        <w:tc>
          <w:tcPr>
            <w:tcW w:w="2618" w:type="dxa"/>
            <w:gridSpan w:val="2"/>
          </w:tcPr>
          <w:p w:rsidR="00A363F2" w:rsidRPr="00226E0B" w:rsidRDefault="00A363F2" w:rsidP="0071669E">
            <w:pPr>
              <w:spacing w:after="0" w:line="240" w:lineRule="auto"/>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31 Aralık 2021 Tarihinde Sona Erecek Olan Mali Yıl Hizmetleri İçin Tahsis Edilen Ödenek  “A”, “C” ve “D” Cetvelleri</w:t>
            </w:r>
          </w:p>
          <w:p w:rsidR="00A363F2" w:rsidRPr="00226E0B" w:rsidRDefault="00A363F2" w:rsidP="0071669E">
            <w:pPr>
              <w:spacing w:after="0" w:line="240" w:lineRule="auto"/>
              <w:rPr>
                <w:rFonts w:ascii="Times New Roman" w:hAnsi="Times New Roman" w:cs="Times New Roman"/>
                <w:noProof/>
                <w:sz w:val="24"/>
                <w:szCs w:val="24"/>
                <w:lang w:eastAsia="en-US"/>
              </w:rPr>
            </w:pPr>
          </w:p>
        </w:tc>
        <w:tc>
          <w:tcPr>
            <w:tcW w:w="10466" w:type="dxa"/>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2. Toprak Ürünleri Kurumunun, 1 Ocak 2021 tarihinde başlayan ve 31 Aralık 2021 tarihinde sona erecek olan 2021 Mali Yılında bu Yasaya Ek’li “A”, “C” ve “D” (Ödenekler, Kadrolar ve Araçlar) Cetvellerinde saptanan hizmet ve faaliyetlerin yürütülmesi için 265,936,000.-TL (İki Yüz Altmış Beş Milyon, Dokuz Yüz Otuz Altı Bin Türk Lirası) ödenek tahsis edilir.</w:t>
            </w:r>
          </w:p>
          <w:p w:rsidR="00A363F2" w:rsidRPr="00226E0B" w:rsidRDefault="00A363F2" w:rsidP="0071669E">
            <w:pPr>
              <w:spacing w:after="0" w:line="240" w:lineRule="auto"/>
              <w:jc w:val="both"/>
              <w:rPr>
                <w:rFonts w:ascii="Times New Roman" w:hAnsi="Times New Roman" w:cs="Times New Roman"/>
                <w:noProof/>
                <w:sz w:val="24"/>
                <w:szCs w:val="24"/>
                <w:lang w:eastAsia="en-US"/>
              </w:rPr>
            </w:pPr>
          </w:p>
          <w:p w:rsidR="00A363F2" w:rsidRPr="00226E0B" w:rsidRDefault="00A363F2" w:rsidP="0071669E">
            <w:pPr>
              <w:spacing w:after="0" w:line="240" w:lineRule="auto"/>
              <w:jc w:val="both"/>
              <w:rPr>
                <w:rFonts w:ascii="Times New Roman" w:hAnsi="Times New Roman" w:cs="Times New Roman"/>
                <w:noProof/>
                <w:sz w:val="24"/>
                <w:szCs w:val="24"/>
                <w:lang w:eastAsia="en-US"/>
              </w:rPr>
            </w:pPr>
          </w:p>
        </w:tc>
      </w:tr>
      <w:tr w:rsidR="00A363F2" w:rsidRPr="00226E0B" w:rsidTr="0071669E">
        <w:tc>
          <w:tcPr>
            <w:tcW w:w="2618" w:type="dxa"/>
            <w:gridSpan w:val="2"/>
          </w:tcPr>
          <w:p w:rsidR="00A363F2" w:rsidRPr="00226E0B" w:rsidRDefault="00A363F2" w:rsidP="0071669E">
            <w:pPr>
              <w:spacing w:after="0" w:line="240" w:lineRule="auto"/>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 xml:space="preserve">Bütçenin Finansmanı </w:t>
            </w:r>
          </w:p>
          <w:p w:rsidR="00A363F2" w:rsidRPr="00226E0B" w:rsidRDefault="00A363F2" w:rsidP="0071669E">
            <w:pPr>
              <w:spacing w:after="0" w:line="240" w:lineRule="auto"/>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“B” Cetveli</w:t>
            </w:r>
          </w:p>
        </w:tc>
        <w:tc>
          <w:tcPr>
            <w:tcW w:w="10466" w:type="dxa"/>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3. Bütçenin finansmanı için, bu Yasaya Ek’li “B” (Gelirler) Cetvelinde saptanan kaynaklardan, 7,472,000.-TL (Yedi Milyon, Dört Yüz Yetmiş İki Bin Türk Lirası) vergi dışı gelirler, 224,964,000.-TL (İki Yüz Yirmi Dört Milyon, Dokuz Yüz Altmış Dört Bin Türk Lirası) sermaye gelirleri, 24,000,000.-TL (Yirmi Dört Milyon Türk Lirası)  Kuzey Kıbrıs Türk Cumhuriyeti Bütçe Katkısı, 9,500,000.-TL (Dokuz  Milyon, Beş Yüz Bin Türk Lirası) Devlette görevlendirilen personel katkısı olmak üzere, toplam 265,936,000.-TL (İki Yüz Altmış Beş Milyon, Dokuz Yüz Otuz Altı Bin Türk Lirası) gelir öngörülür.</w:t>
            </w:r>
          </w:p>
        </w:tc>
      </w:tr>
      <w:tr w:rsidR="00A363F2" w:rsidRPr="00226E0B" w:rsidTr="0071669E">
        <w:tc>
          <w:tcPr>
            <w:tcW w:w="2618" w:type="dxa"/>
            <w:gridSpan w:val="2"/>
          </w:tcPr>
          <w:p w:rsidR="00A363F2" w:rsidRPr="00226E0B" w:rsidRDefault="00A363F2" w:rsidP="0071669E">
            <w:pPr>
              <w:spacing w:after="0" w:line="240" w:lineRule="auto"/>
              <w:rPr>
                <w:rFonts w:ascii="Times New Roman" w:hAnsi="Times New Roman" w:cs="Times New Roman"/>
                <w:noProof/>
                <w:sz w:val="24"/>
                <w:szCs w:val="24"/>
                <w:lang w:eastAsia="en-US"/>
              </w:rPr>
            </w:pPr>
          </w:p>
        </w:tc>
        <w:tc>
          <w:tcPr>
            <w:tcW w:w="10466" w:type="dxa"/>
          </w:tcPr>
          <w:p w:rsidR="00A363F2" w:rsidRPr="00226E0B" w:rsidRDefault="00A363F2" w:rsidP="0071669E">
            <w:pPr>
              <w:spacing w:after="0" w:line="240" w:lineRule="auto"/>
              <w:jc w:val="both"/>
              <w:rPr>
                <w:rFonts w:ascii="Times New Roman" w:hAnsi="Times New Roman" w:cs="Times New Roman"/>
                <w:sz w:val="24"/>
                <w:szCs w:val="24"/>
                <w:lang w:eastAsia="en-US"/>
              </w:rPr>
            </w:pPr>
          </w:p>
        </w:tc>
      </w:tr>
      <w:tr w:rsidR="00A363F2" w:rsidRPr="00226E0B" w:rsidTr="0071669E">
        <w:tc>
          <w:tcPr>
            <w:tcW w:w="2618" w:type="dxa"/>
            <w:gridSpan w:val="2"/>
          </w:tcPr>
          <w:p w:rsidR="00A363F2" w:rsidRPr="00226E0B" w:rsidRDefault="00A363F2" w:rsidP="0071669E">
            <w:pPr>
              <w:spacing w:after="0" w:line="240" w:lineRule="auto"/>
              <w:rPr>
                <w:rFonts w:ascii="Times New Roman" w:hAnsi="Times New Roman" w:cs="Times New Roman"/>
                <w:noProof/>
                <w:sz w:val="24"/>
                <w:szCs w:val="24"/>
                <w:lang w:eastAsia="en-US"/>
              </w:rPr>
            </w:pPr>
            <w:r w:rsidRPr="00226E0B">
              <w:rPr>
                <w:rFonts w:eastAsia="Calibri" w:cs="Times New Roman"/>
                <w:lang w:eastAsia="en-US"/>
              </w:rPr>
              <w:br w:type="page"/>
            </w:r>
            <w:r w:rsidRPr="00226E0B">
              <w:rPr>
                <w:rFonts w:ascii="Times New Roman" w:hAnsi="Times New Roman" w:cs="Times New Roman"/>
                <w:noProof/>
                <w:sz w:val="24"/>
                <w:szCs w:val="24"/>
                <w:lang w:eastAsia="en-US"/>
              </w:rPr>
              <w:t>Cetveller</w:t>
            </w:r>
          </w:p>
        </w:tc>
        <w:tc>
          <w:tcPr>
            <w:tcW w:w="10466" w:type="dxa"/>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4. Toprak Ürünleri Kurumu 2021 Mali Yılı Bütçe Yasası aşağıdaki Cetvellerden oluşur:</w:t>
            </w:r>
          </w:p>
        </w:tc>
      </w:tr>
      <w:tr w:rsidR="00A363F2" w:rsidRPr="00226E0B" w:rsidTr="0071669E">
        <w:tc>
          <w:tcPr>
            <w:tcW w:w="2618" w:type="dxa"/>
            <w:gridSpan w:val="2"/>
          </w:tcPr>
          <w:p w:rsidR="00A363F2" w:rsidRPr="00226E0B" w:rsidRDefault="00A363F2" w:rsidP="0071669E">
            <w:pPr>
              <w:spacing w:after="0" w:line="240" w:lineRule="auto"/>
              <w:rPr>
                <w:rFonts w:ascii="Times New Roman" w:hAnsi="Times New Roman" w:cs="Times New Roman"/>
                <w:noProof/>
                <w:sz w:val="24"/>
                <w:szCs w:val="24"/>
                <w:lang w:eastAsia="en-US"/>
              </w:rPr>
            </w:pPr>
          </w:p>
        </w:tc>
        <w:tc>
          <w:tcPr>
            <w:tcW w:w="10466" w:type="dxa"/>
          </w:tcPr>
          <w:p w:rsidR="00A363F2" w:rsidRPr="00226E0B" w:rsidRDefault="00A363F2" w:rsidP="0071669E">
            <w:pPr>
              <w:spacing w:after="0" w:line="240" w:lineRule="auto"/>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“A” Cetveli    …............................Ödenekler</w:t>
            </w:r>
          </w:p>
          <w:p w:rsidR="00A363F2" w:rsidRPr="00226E0B" w:rsidRDefault="00A363F2" w:rsidP="0071669E">
            <w:pPr>
              <w:spacing w:after="0" w:line="240" w:lineRule="auto"/>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“B” Cetveli    …............................Gelirler</w:t>
            </w:r>
          </w:p>
          <w:p w:rsidR="00A363F2" w:rsidRPr="00226E0B" w:rsidRDefault="00A363F2" w:rsidP="0071669E">
            <w:pPr>
              <w:spacing w:after="0" w:line="240" w:lineRule="auto"/>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“C” Cetveli    …............................Kadrolar</w:t>
            </w:r>
          </w:p>
          <w:p w:rsidR="00A363F2" w:rsidRPr="00226E0B" w:rsidRDefault="00A363F2" w:rsidP="0071669E">
            <w:pPr>
              <w:spacing w:after="0" w:line="240" w:lineRule="auto"/>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“D” Cetveli   ….............................Araçlar</w:t>
            </w:r>
          </w:p>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“E” Cetveli   …..............................Harcamaya İlişkin Formül (Eko – Rehber)</w:t>
            </w:r>
          </w:p>
        </w:tc>
      </w:tr>
      <w:tr w:rsidR="00A363F2" w:rsidRPr="00226E0B" w:rsidTr="0071669E">
        <w:tc>
          <w:tcPr>
            <w:tcW w:w="2605" w:type="dxa"/>
          </w:tcPr>
          <w:p w:rsidR="00A363F2" w:rsidRPr="00226E0B" w:rsidRDefault="00A363F2" w:rsidP="0071669E">
            <w:pPr>
              <w:spacing w:after="0" w:line="240" w:lineRule="auto"/>
              <w:rPr>
                <w:rFonts w:ascii="Times New Roman" w:hAnsi="Times New Roman" w:cs="Times New Roman"/>
                <w:noProof/>
                <w:sz w:val="24"/>
                <w:szCs w:val="24"/>
                <w:lang w:eastAsia="en-US"/>
              </w:rPr>
            </w:pPr>
          </w:p>
        </w:tc>
        <w:tc>
          <w:tcPr>
            <w:tcW w:w="10479" w:type="dxa"/>
            <w:gridSpan w:val="2"/>
          </w:tcPr>
          <w:p w:rsidR="00A363F2" w:rsidRPr="00226E0B" w:rsidRDefault="00A363F2" w:rsidP="0071669E">
            <w:pPr>
              <w:spacing w:after="0" w:line="240" w:lineRule="auto"/>
              <w:rPr>
                <w:rFonts w:ascii="Times New Roman" w:hAnsi="Times New Roman" w:cs="Times New Roman"/>
                <w:noProof/>
                <w:sz w:val="24"/>
                <w:szCs w:val="24"/>
                <w:lang w:eastAsia="en-US"/>
              </w:rPr>
            </w:pPr>
          </w:p>
        </w:tc>
      </w:tr>
    </w:tbl>
    <w:p w:rsidR="00A363F2" w:rsidRDefault="00A363F2" w:rsidP="00A363F2">
      <w:r>
        <w:br w:type="page"/>
      </w:r>
    </w:p>
    <w:tbl>
      <w:tblPr>
        <w:tblW w:w="0" w:type="auto"/>
        <w:tblLook w:val="0000" w:firstRow="0" w:lastRow="0" w:firstColumn="0" w:lastColumn="0" w:noHBand="0" w:noVBand="0"/>
      </w:tblPr>
      <w:tblGrid>
        <w:gridCol w:w="2605"/>
        <w:gridCol w:w="516"/>
        <w:gridCol w:w="106"/>
        <w:gridCol w:w="476"/>
        <w:gridCol w:w="9381"/>
      </w:tblGrid>
      <w:tr w:rsidR="00A363F2" w:rsidRPr="00226E0B" w:rsidTr="0071669E">
        <w:tc>
          <w:tcPr>
            <w:tcW w:w="2605" w:type="dxa"/>
          </w:tcPr>
          <w:p w:rsidR="00A363F2" w:rsidRPr="00226E0B" w:rsidRDefault="00A363F2" w:rsidP="0071669E">
            <w:pPr>
              <w:spacing w:after="0" w:line="240" w:lineRule="auto"/>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lastRenderedPageBreak/>
              <w:br w:type="page"/>
              <w:t>Analitik Bütçe Sınıflandırması</w:t>
            </w:r>
          </w:p>
        </w:tc>
        <w:tc>
          <w:tcPr>
            <w:tcW w:w="10479" w:type="dxa"/>
            <w:gridSpan w:val="4"/>
          </w:tcPr>
          <w:p w:rsidR="00A363F2" w:rsidRPr="00226E0B" w:rsidRDefault="00A363F2" w:rsidP="0071669E">
            <w:pPr>
              <w:spacing w:after="0" w:line="240" w:lineRule="auto"/>
              <w:jc w:val="both"/>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5. Toprak Ürünleri Kurumu 2021 Mali Yılı Analitik Bütçe Sınıflandırması aşağıdaki şekilde düzenlenmiştir:</w:t>
            </w:r>
          </w:p>
        </w:tc>
      </w:tr>
      <w:tr w:rsidR="00A363F2" w:rsidRPr="00226E0B" w:rsidTr="0071669E">
        <w:tc>
          <w:tcPr>
            <w:tcW w:w="2605" w:type="dxa"/>
          </w:tcPr>
          <w:p w:rsidR="00A363F2" w:rsidRPr="00226E0B" w:rsidRDefault="00A363F2" w:rsidP="0071669E">
            <w:pPr>
              <w:spacing w:after="0" w:line="240" w:lineRule="auto"/>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“E” Cetveli</w:t>
            </w:r>
          </w:p>
        </w:tc>
        <w:tc>
          <w:tcPr>
            <w:tcW w:w="622" w:type="dxa"/>
            <w:gridSpan w:val="2"/>
          </w:tcPr>
          <w:p w:rsidR="00A363F2" w:rsidRPr="00226E0B" w:rsidRDefault="00A363F2" w:rsidP="0071669E">
            <w:pPr>
              <w:spacing w:after="0" w:line="240" w:lineRule="auto"/>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(1)</w:t>
            </w:r>
          </w:p>
        </w:tc>
        <w:tc>
          <w:tcPr>
            <w:tcW w:w="9857" w:type="dxa"/>
            <w:gridSpan w:val="2"/>
          </w:tcPr>
          <w:p w:rsidR="00A363F2" w:rsidRPr="00226E0B" w:rsidRDefault="00A363F2" w:rsidP="0071669E">
            <w:pPr>
              <w:spacing w:after="0" w:line="240" w:lineRule="auto"/>
              <w:jc w:val="both"/>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Kurumsal Sınıflandırma: Birinci Düzeyde Toprak Ürünleri Kurumu yer almaktadır.</w:t>
            </w:r>
          </w:p>
        </w:tc>
      </w:tr>
      <w:tr w:rsidR="00A363F2" w:rsidRPr="00226E0B" w:rsidTr="0071669E">
        <w:tc>
          <w:tcPr>
            <w:tcW w:w="2605" w:type="dxa"/>
          </w:tcPr>
          <w:p w:rsidR="00A363F2" w:rsidRPr="00226E0B" w:rsidRDefault="00A363F2" w:rsidP="0071669E">
            <w:pPr>
              <w:spacing w:after="0" w:line="240" w:lineRule="auto"/>
              <w:rPr>
                <w:rFonts w:ascii="Times New Roman" w:hAnsi="Times New Roman" w:cs="Times New Roman"/>
                <w:noProof/>
                <w:sz w:val="24"/>
                <w:szCs w:val="24"/>
                <w:lang w:eastAsia="en-US"/>
              </w:rPr>
            </w:pPr>
          </w:p>
        </w:tc>
        <w:tc>
          <w:tcPr>
            <w:tcW w:w="622" w:type="dxa"/>
            <w:gridSpan w:val="2"/>
          </w:tcPr>
          <w:p w:rsidR="00A363F2" w:rsidRPr="00226E0B" w:rsidRDefault="00A363F2" w:rsidP="0071669E">
            <w:pPr>
              <w:spacing w:after="0" w:line="240" w:lineRule="auto"/>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(2)</w:t>
            </w:r>
          </w:p>
        </w:tc>
        <w:tc>
          <w:tcPr>
            <w:tcW w:w="9857" w:type="dxa"/>
            <w:gridSpan w:val="2"/>
          </w:tcPr>
          <w:p w:rsidR="00A363F2" w:rsidRPr="00226E0B" w:rsidRDefault="00A363F2" w:rsidP="0071669E">
            <w:pPr>
              <w:spacing w:after="0" w:line="240" w:lineRule="auto"/>
              <w:jc w:val="both"/>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Fonksiyonel Sınıflandırma: Toprak Ürünleri Kurumunun faaliyetlerinin işlevini göstermektedir.</w:t>
            </w:r>
          </w:p>
        </w:tc>
      </w:tr>
      <w:tr w:rsidR="00A363F2" w:rsidRPr="00226E0B" w:rsidTr="0071669E">
        <w:tc>
          <w:tcPr>
            <w:tcW w:w="2605" w:type="dxa"/>
          </w:tcPr>
          <w:p w:rsidR="00A363F2" w:rsidRPr="00226E0B" w:rsidRDefault="00A363F2" w:rsidP="0071669E">
            <w:pPr>
              <w:spacing w:after="0" w:line="240" w:lineRule="auto"/>
              <w:rPr>
                <w:rFonts w:ascii="Times New Roman" w:hAnsi="Times New Roman" w:cs="Times New Roman"/>
                <w:noProof/>
                <w:sz w:val="24"/>
                <w:szCs w:val="24"/>
                <w:lang w:eastAsia="en-US"/>
              </w:rPr>
            </w:pPr>
          </w:p>
        </w:tc>
        <w:tc>
          <w:tcPr>
            <w:tcW w:w="622" w:type="dxa"/>
            <w:gridSpan w:val="2"/>
          </w:tcPr>
          <w:p w:rsidR="00A363F2" w:rsidRPr="00226E0B" w:rsidRDefault="00A363F2" w:rsidP="0071669E">
            <w:pPr>
              <w:spacing w:after="0" w:line="240" w:lineRule="auto"/>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(3)</w:t>
            </w:r>
          </w:p>
        </w:tc>
        <w:tc>
          <w:tcPr>
            <w:tcW w:w="9857" w:type="dxa"/>
            <w:gridSpan w:val="2"/>
          </w:tcPr>
          <w:p w:rsidR="00A363F2" w:rsidRPr="00226E0B" w:rsidRDefault="00A363F2" w:rsidP="0071669E">
            <w:pPr>
              <w:spacing w:after="0" w:line="240" w:lineRule="auto"/>
              <w:jc w:val="both"/>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Finansal Sınıflandırma: Yapılan harcamaların hangi kaynaktan finanse edildiğini göstermektedir.</w:t>
            </w:r>
          </w:p>
        </w:tc>
      </w:tr>
      <w:tr w:rsidR="00A363F2" w:rsidRPr="00226E0B" w:rsidTr="0071669E">
        <w:tc>
          <w:tcPr>
            <w:tcW w:w="2605" w:type="dxa"/>
          </w:tcPr>
          <w:p w:rsidR="00A363F2" w:rsidRPr="00226E0B" w:rsidRDefault="00A363F2" w:rsidP="0071669E">
            <w:pPr>
              <w:spacing w:after="0" w:line="240" w:lineRule="auto"/>
              <w:rPr>
                <w:rFonts w:ascii="Times New Roman" w:hAnsi="Times New Roman" w:cs="Times New Roman"/>
                <w:noProof/>
                <w:sz w:val="24"/>
                <w:szCs w:val="24"/>
                <w:lang w:eastAsia="en-US"/>
              </w:rPr>
            </w:pPr>
          </w:p>
        </w:tc>
        <w:tc>
          <w:tcPr>
            <w:tcW w:w="622" w:type="dxa"/>
            <w:gridSpan w:val="2"/>
          </w:tcPr>
          <w:p w:rsidR="00A363F2" w:rsidRPr="00226E0B" w:rsidRDefault="00A363F2" w:rsidP="0071669E">
            <w:pPr>
              <w:spacing w:after="0" w:line="240" w:lineRule="auto"/>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(4)</w:t>
            </w:r>
          </w:p>
        </w:tc>
        <w:tc>
          <w:tcPr>
            <w:tcW w:w="9857" w:type="dxa"/>
            <w:gridSpan w:val="2"/>
          </w:tcPr>
          <w:p w:rsidR="00A363F2" w:rsidRPr="00226E0B" w:rsidRDefault="00A363F2" w:rsidP="0071669E">
            <w:pPr>
              <w:spacing w:after="0" w:line="240" w:lineRule="auto"/>
              <w:jc w:val="both"/>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Ekonomik Sınıflandırma: Ödeneklerin ekonomik sınıflandırılmasını göstermektedir ve detaylı açıklamaları “E” Cetveli Eko-Rehberde yer almaktadır.</w:t>
            </w:r>
          </w:p>
        </w:tc>
      </w:tr>
      <w:tr w:rsidR="00A363F2" w:rsidRPr="00226E0B" w:rsidTr="0071669E">
        <w:tc>
          <w:tcPr>
            <w:tcW w:w="2605" w:type="dxa"/>
          </w:tcPr>
          <w:p w:rsidR="00A363F2" w:rsidRPr="00226E0B" w:rsidRDefault="00A363F2" w:rsidP="0071669E">
            <w:pPr>
              <w:spacing w:after="0" w:line="240" w:lineRule="auto"/>
              <w:rPr>
                <w:rFonts w:ascii="Times New Roman" w:hAnsi="Times New Roman" w:cs="Times New Roman"/>
                <w:noProof/>
                <w:sz w:val="24"/>
                <w:szCs w:val="24"/>
                <w:lang w:eastAsia="en-US"/>
              </w:rPr>
            </w:pPr>
          </w:p>
        </w:tc>
        <w:tc>
          <w:tcPr>
            <w:tcW w:w="622" w:type="dxa"/>
            <w:gridSpan w:val="2"/>
          </w:tcPr>
          <w:p w:rsidR="00A363F2" w:rsidRPr="00226E0B" w:rsidRDefault="00A363F2" w:rsidP="0071669E">
            <w:pPr>
              <w:spacing w:after="0" w:line="240" w:lineRule="auto"/>
              <w:rPr>
                <w:rFonts w:ascii="Times New Roman" w:hAnsi="Times New Roman" w:cs="Times New Roman"/>
                <w:noProof/>
                <w:sz w:val="24"/>
                <w:szCs w:val="24"/>
                <w:lang w:eastAsia="en-US"/>
              </w:rPr>
            </w:pPr>
          </w:p>
        </w:tc>
        <w:tc>
          <w:tcPr>
            <w:tcW w:w="9857" w:type="dxa"/>
            <w:gridSpan w:val="2"/>
          </w:tcPr>
          <w:p w:rsidR="00A363F2" w:rsidRPr="00226E0B" w:rsidRDefault="00A363F2" w:rsidP="0071669E">
            <w:pPr>
              <w:spacing w:after="0" w:line="240" w:lineRule="auto"/>
              <w:rPr>
                <w:rFonts w:ascii="Times New Roman" w:hAnsi="Times New Roman" w:cs="Times New Roman"/>
                <w:noProof/>
                <w:sz w:val="24"/>
                <w:szCs w:val="24"/>
                <w:lang w:eastAsia="en-US"/>
              </w:rPr>
            </w:pPr>
          </w:p>
        </w:tc>
      </w:tr>
      <w:tr w:rsidR="00A363F2" w:rsidRPr="00226E0B" w:rsidTr="0071669E">
        <w:tc>
          <w:tcPr>
            <w:tcW w:w="2605" w:type="dxa"/>
          </w:tcPr>
          <w:p w:rsidR="00A363F2" w:rsidRPr="00226E0B" w:rsidRDefault="00A363F2" w:rsidP="0071669E">
            <w:pPr>
              <w:spacing w:after="0" w:line="240" w:lineRule="auto"/>
              <w:rPr>
                <w:rFonts w:ascii="Times New Roman" w:hAnsi="Times New Roman" w:cs="Times New Roman"/>
                <w:noProof/>
                <w:sz w:val="24"/>
                <w:szCs w:val="24"/>
                <w:lang w:eastAsia="en-US"/>
              </w:rPr>
            </w:pPr>
          </w:p>
        </w:tc>
        <w:tc>
          <w:tcPr>
            <w:tcW w:w="622" w:type="dxa"/>
            <w:gridSpan w:val="2"/>
          </w:tcPr>
          <w:p w:rsidR="00A363F2" w:rsidRPr="00226E0B" w:rsidRDefault="00A363F2" w:rsidP="0071669E">
            <w:pPr>
              <w:spacing w:after="0" w:line="240" w:lineRule="auto"/>
              <w:rPr>
                <w:rFonts w:ascii="Times New Roman" w:hAnsi="Times New Roman" w:cs="Times New Roman"/>
                <w:noProof/>
                <w:sz w:val="24"/>
                <w:szCs w:val="24"/>
                <w:lang w:eastAsia="en-US"/>
              </w:rPr>
            </w:pPr>
          </w:p>
        </w:tc>
        <w:tc>
          <w:tcPr>
            <w:tcW w:w="9857" w:type="dxa"/>
            <w:gridSpan w:val="2"/>
          </w:tcPr>
          <w:p w:rsidR="00A363F2" w:rsidRPr="00226E0B" w:rsidRDefault="00A363F2" w:rsidP="0071669E">
            <w:pPr>
              <w:spacing w:after="0" w:line="240" w:lineRule="auto"/>
              <w:rPr>
                <w:rFonts w:ascii="Times New Roman" w:hAnsi="Times New Roman" w:cs="Times New Roman"/>
                <w:noProof/>
                <w:sz w:val="24"/>
                <w:szCs w:val="24"/>
                <w:lang w:eastAsia="en-US"/>
              </w:rPr>
            </w:pPr>
          </w:p>
        </w:tc>
      </w:tr>
      <w:tr w:rsidR="00A363F2" w:rsidRPr="00226E0B" w:rsidTr="0071669E">
        <w:tc>
          <w:tcPr>
            <w:tcW w:w="13084" w:type="dxa"/>
            <w:gridSpan w:val="5"/>
          </w:tcPr>
          <w:p w:rsidR="00A363F2" w:rsidRPr="00226E0B" w:rsidRDefault="00A363F2" w:rsidP="0071669E">
            <w:pPr>
              <w:spacing w:after="0" w:line="240" w:lineRule="auto"/>
              <w:jc w:val="center"/>
              <w:rPr>
                <w:rFonts w:ascii="Times New Roman" w:hAnsi="Times New Roman" w:cs="Times New Roman"/>
                <w:sz w:val="24"/>
                <w:szCs w:val="24"/>
                <w:lang w:eastAsia="en-US"/>
              </w:rPr>
            </w:pPr>
            <w:r w:rsidRPr="00226E0B">
              <w:rPr>
                <w:rFonts w:ascii="Times New Roman" w:hAnsi="Times New Roman" w:cs="Times New Roman"/>
                <w:sz w:val="24"/>
                <w:szCs w:val="24"/>
                <w:lang w:eastAsia="en-US"/>
              </w:rPr>
              <w:t>İKİNCİ KISIM</w:t>
            </w:r>
          </w:p>
          <w:p w:rsidR="00A363F2" w:rsidRPr="00226E0B" w:rsidRDefault="00A363F2" w:rsidP="0071669E">
            <w:pPr>
              <w:spacing w:after="0" w:line="240" w:lineRule="auto"/>
              <w:jc w:val="center"/>
              <w:rPr>
                <w:rFonts w:ascii="Times New Roman" w:hAnsi="Times New Roman" w:cs="Times New Roman"/>
                <w:sz w:val="24"/>
                <w:szCs w:val="24"/>
                <w:lang w:eastAsia="en-US"/>
              </w:rPr>
            </w:pPr>
            <w:r w:rsidRPr="00226E0B">
              <w:rPr>
                <w:rFonts w:ascii="Times New Roman" w:hAnsi="Times New Roman" w:cs="Times New Roman"/>
                <w:sz w:val="24"/>
                <w:szCs w:val="24"/>
                <w:lang w:eastAsia="en-US"/>
              </w:rPr>
              <w:t>Gelirler ve Cari Harcamalara İlişkin Uygulama Kuralları</w:t>
            </w:r>
          </w:p>
        </w:tc>
      </w:tr>
      <w:tr w:rsidR="00A363F2" w:rsidRPr="00226E0B" w:rsidTr="0071669E">
        <w:tc>
          <w:tcPr>
            <w:tcW w:w="13084" w:type="dxa"/>
            <w:gridSpan w:val="5"/>
          </w:tcPr>
          <w:p w:rsidR="00A363F2" w:rsidRPr="00226E0B" w:rsidRDefault="00A363F2" w:rsidP="0071669E">
            <w:pPr>
              <w:spacing w:after="0" w:line="240" w:lineRule="auto"/>
              <w:jc w:val="center"/>
              <w:rPr>
                <w:rFonts w:ascii="Times New Roman" w:hAnsi="Times New Roman" w:cs="Times New Roman"/>
                <w:sz w:val="24"/>
                <w:szCs w:val="24"/>
                <w:lang w:eastAsia="en-US"/>
              </w:rPr>
            </w:pPr>
          </w:p>
        </w:tc>
      </w:tr>
      <w:tr w:rsidR="00A363F2" w:rsidRPr="00226E0B" w:rsidTr="0071669E">
        <w:tc>
          <w:tcPr>
            <w:tcW w:w="13084" w:type="dxa"/>
            <w:gridSpan w:val="5"/>
          </w:tcPr>
          <w:p w:rsidR="00A363F2" w:rsidRPr="00226E0B" w:rsidRDefault="00A363F2" w:rsidP="0071669E">
            <w:pPr>
              <w:spacing w:after="0" w:line="240" w:lineRule="auto"/>
              <w:jc w:val="center"/>
              <w:rPr>
                <w:rFonts w:ascii="Times New Roman" w:hAnsi="Times New Roman" w:cs="Times New Roman"/>
                <w:sz w:val="24"/>
                <w:szCs w:val="24"/>
                <w:lang w:eastAsia="en-US"/>
              </w:rPr>
            </w:pPr>
            <w:r w:rsidRPr="00226E0B">
              <w:rPr>
                <w:rFonts w:ascii="Times New Roman" w:hAnsi="Times New Roman" w:cs="Times New Roman"/>
                <w:sz w:val="24"/>
                <w:szCs w:val="24"/>
                <w:lang w:eastAsia="en-US"/>
              </w:rPr>
              <w:t>BİRİNCİ BÖLÜM</w:t>
            </w:r>
          </w:p>
          <w:p w:rsidR="00A363F2" w:rsidRPr="00226E0B" w:rsidRDefault="00A363F2" w:rsidP="0071669E">
            <w:pPr>
              <w:spacing w:after="0" w:line="240" w:lineRule="auto"/>
              <w:jc w:val="center"/>
              <w:rPr>
                <w:rFonts w:ascii="Times New Roman" w:hAnsi="Times New Roman" w:cs="Times New Roman"/>
                <w:sz w:val="24"/>
                <w:szCs w:val="24"/>
                <w:lang w:eastAsia="en-US"/>
              </w:rPr>
            </w:pPr>
            <w:r w:rsidRPr="00226E0B">
              <w:rPr>
                <w:rFonts w:ascii="Times New Roman" w:hAnsi="Times New Roman" w:cs="Times New Roman"/>
                <w:sz w:val="24"/>
                <w:szCs w:val="24"/>
                <w:lang w:eastAsia="en-US"/>
              </w:rPr>
              <w:t>Gelirler ve Giderler</w:t>
            </w:r>
          </w:p>
        </w:tc>
      </w:tr>
      <w:tr w:rsidR="00A363F2" w:rsidRPr="00226E0B" w:rsidTr="0071669E">
        <w:tc>
          <w:tcPr>
            <w:tcW w:w="2605" w:type="dxa"/>
          </w:tcPr>
          <w:p w:rsidR="00A363F2" w:rsidRPr="00226E0B" w:rsidRDefault="00A363F2" w:rsidP="0071669E">
            <w:pPr>
              <w:spacing w:after="0" w:line="240" w:lineRule="auto"/>
              <w:rPr>
                <w:rFonts w:ascii="Times New Roman" w:hAnsi="Times New Roman" w:cs="Times New Roman"/>
                <w:noProof/>
                <w:sz w:val="24"/>
                <w:szCs w:val="24"/>
                <w:lang w:eastAsia="en-US"/>
              </w:rPr>
            </w:pPr>
          </w:p>
        </w:tc>
        <w:tc>
          <w:tcPr>
            <w:tcW w:w="10479" w:type="dxa"/>
            <w:gridSpan w:val="4"/>
          </w:tcPr>
          <w:p w:rsidR="00A363F2" w:rsidRPr="00226E0B" w:rsidRDefault="00A363F2" w:rsidP="0071669E">
            <w:pPr>
              <w:spacing w:after="0" w:line="240" w:lineRule="auto"/>
              <w:jc w:val="center"/>
              <w:rPr>
                <w:rFonts w:ascii="Times New Roman" w:hAnsi="Times New Roman" w:cs="Times New Roman"/>
                <w:sz w:val="24"/>
                <w:szCs w:val="24"/>
                <w:lang w:eastAsia="en-US"/>
              </w:rPr>
            </w:pPr>
          </w:p>
        </w:tc>
      </w:tr>
      <w:tr w:rsidR="00A363F2" w:rsidRPr="00226E0B" w:rsidTr="0071669E">
        <w:tc>
          <w:tcPr>
            <w:tcW w:w="2605" w:type="dxa"/>
          </w:tcPr>
          <w:p w:rsidR="00A363F2" w:rsidRPr="00226E0B" w:rsidRDefault="00A363F2" w:rsidP="0071669E">
            <w:pPr>
              <w:spacing w:after="0" w:line="240" w:lineRule="auto"/>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Bütçenin Gelirleri</w:t>
            </w:r>
          </w:p>
          <w:p w:rsidR="00A363F2" w:rsidRPr="00226E0B" w:rsidRDefault="00A363F2" w:rsidP="0071669E">
            <w:pPr>
              <w:spacing w:after="0" w:line="240" w:lineRule="auto"/>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32/1992</w:t>
            </w:r>
          </w:p>
        </w:tc>
        <w:tc>
          <w:tcPr>
            <w:tcW w:w="10479" w:type="dxa"/>
            <w:gridSpan w:val="4"/>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6. Toprak Ürünleri Kurumunun gelirleri, Toprak Ürünleri Kurumu (Kuruluş, Görev ve Yetkileri) Yasası kuralları çerçevesinde oluşur ve Toprak Ürünleri Kurumu Bütçesine gelir olarak kaydedilir.</w:t>
            </w:r>
          </w:p>
        </w:tc>
      </w:tr>
      <w:tr w:rsidR="00A363F2" w:rsidRPr="00226E0B" w:rsidTr="0071669E">
        <w:tc>
          <w:tcPr>
            <w:tcW w:w="2605" w:type="dxa"/>
          </w:tcPr>
          <w:p w:rsidR="00A363F2" w:rsidRPr="00226E0B" w:rsidRDefault="00A363F2" w:rsidP="0071669E">
            <w:pPr>
              <w:spacing w:after="0" w:line="240" w:lineRule="auto"/>
              <w:rPr>
                <w:rFonts w:ascii="Times New Roman" w:hAnsi="Times New Roman" w:cs="Times New Roman"/>
                <w:noProof/>
                <w:sz w:val="24"/>
                <w:szCs w:val="24"/>
                <w:lang w:eastAsia="en-US"/>
              </w:rPr>
            </w:pPr>
          </w:p>
        </w:tc>
        <w:tc>
          <w:tcPr>
            <w:tcW w:w="516" w:type="dxa"/>
          </w:tcPr>
          <w:p w:rsidR="00A363F2" w:rsidRPr="00226E0B" w:rsidRDefault="00A363F2" w:rsidP="0071669E">
            <w:pPr>
              <w:spacing w:after="0" w:line="240" w:lineRule="auto"/>
              <w:jc w:val="both"/>
              <w:rPr>
                <w:rFonts w:ascii="Times New Roman" w:hAnsi="Times New Roman" w:cs="Times New Roman"/>
                <w:sz w:val="24"/>
                <w:szCs w:val="24"/>
                <w:lang w:eastAsia="en-US"/>
              </w:rPr>
            </w:pPr>
          </w:p>
        </w:tc>
        <w:tc>
          <w:tcPr>
            <w:tcW w:w="582" w:type="dxa"/>
            <w:gridSpan w:val="2"/>
          </w:tcPr>
          <w:p w:rsidR="00A363F2" w:rsidRPr="00226E0B" w:rsidRDefault="00A363F2" w:rsidP="0071669E">
            <w:pPr>
              <w:spacing w:after="0" w:line="240" w:lineRule="auto"/>
              <w:jc w:val="both"/>
              <w:rPr>
                <w:rFonts w:ascii="Times New Roman" w:hAnsi="Times New Roman" w:cs="Times New Roman"/>
                <w:sz w:val="24"/>
                <w:szCs w:val="24"/>
                <w:lang w:eastAsia="en-US"/>
              </w:rPr>
            </w:pPr>
          </w:p>
        </w:tc>
        <w:tc>
          <w:tcPr>
            <w:tcW w:w="9381" w:type="dxa"/>
          </w:tcPr>
          <w:p w:rsidR="00A363F2" w:rsidRPr="00226E0B" w:rsidRDefault="00A363F2" w:rsidP="0071669E">
            <w:pPr>
              <w:spacing w:after="0" w:line="240" w:lineRule="auto"/>
              <w:jc w:val="both"/>
              <w:rPr>
                <w:rFonts w:ascii="Times New Roman" w:hAnsi="Times New Roman" w:cs="Times New Roman"/>
                <w:sz w:val="24"/>
                <w:szCs w:val="24"/>
                <w:lang w:eastAsia="en-US"/>
              </w:rPr>
            </w:pPr>
          </w:p>
        </w:tc>
      </w:tr>
      <w:tr w:rsidR="00A363F2" w:rsidRPr="00226E0B" w:rsidTr="0071669E">
        <w:tc>
          <w:tcPr>
            <w:tcW w:w="2605" w:type="dxa"/>
          </w:tcPr>
          <w:p w:rsidR="00A363F2" w:rsidRPr="00226E0B" w:rsidRDefault="00A363F2" w:rsidP="0071669E">
            <w:pPr>
              <w:spacing w:after="0" w:line="240" w:lineRule="auto"/>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Harcamalarda Usul</w:t>
            </w:r>
          </w:p>
        </w:tc>
        <w:tc>
          <w:tcPr>
            <w:tcW w:w="516" w:type="dxa"/>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7.</w:t>
            </w:r>
          </w:p>
        </w:tc>
        <w:tc>
          <w:tcPr>
            <w:tcW w:w="582" w:type="dxa"/>
            <w:gridSpan w:val="2"/>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(1)</w:t>
            </w:r>
          </w:p>
        </w:tc>
        <w:tc>
          <w:tcPr>
            <w:tcW w:w="9381" w:type="dxa"/>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Bütçede gösterilen ödenek miktarları aşılamaz. Harcamalar, bu Yasanın koyduğu usul, koşul ve kurallar ile bu Yasaya Ek’li Giderler Cetvelinde yer alan kurallara göre yapılır.</w:t>
            </w:r>
          </w:p>
        </w:tc>
      </w:tr>
      <w:tr w:rsidR="00A363F2" w:rsidRPr="00226E0B" w:rsidTr="0071669E">
        <w:tc>
          <w:tcPr>
            <w:tcW w:w="2605" w:type="dxa"/>
          </w:tcPr>
          <w:p w:rsidR="00A363F2" w:rsidRPr="00226E0B" w:rsidRDefault="00A363F2" w:rsidP="0071669E">
            <w:pPr>
              <w:spacing w:after="0" w:line="240" w:lineRule="auto"/>
              <w:rPr>
                <w:rFonts w:ascii="Times New Roman" w:hAnsi="Times New Roman" w:cs="Times New Roman"/>
                <w:noProof/>
                <w:sz w:val="24"/>
                <w:szCs w:val="24"/>
                <w:lang w:eastAsia="en-US"/>
              </w:rPr>
            </w:pPr>
          </w:p>
        </w:tc>
        <w:tc>
          <w:tcPr>
            <w:tcW w:w="516" w:type="dxa"/>
          </w:tcPr>
          <w:p w:rsidR="00A363F2" w:rsidRPr="00226E0B" w:rsidRDefault="00A363F2" w:rsidP="0071669E">
            <w:pPr>
              <w:spacing w:after="0" w:line="240" w:lineRule="auto"/>
              <w:jc w:val="both"/>
              <w:rPr>
                <w:rFonts w:ascii="Times New Roman" w:hAnsi="Times New Roman" w:cs="Times New Roman"/>
                <w:sz w:val="24"/>
                <w:szCs w:val="24"/>
                <w:lang w:eastAsia="en-US"/>
              </w:rPr>
            </w:pPr>
          </w:p>
        </w:tc>
        <w:tc>
          <w:tcPr>
            <w:tcW w:w="582" w:type="dxa"/>
            <w:gridSpan w:val="2"/>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(2)</w:t>
            </w:r>
          </w:p>
        </w:tc>
        <w:tc>
          <w:tcPr>
            <w:tcW w:w="9381" w:type="dxa"/>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Bütçede öngörülmediği halde cari yıl içinde ortaya çıkan gelirler, Tarım İşleriyle Görevli Bakan tarafından Bütçeye yeni gelir kalemi olarak eklenir.</w:t>
            </w:r>
          </w:p>
        </w:tc>
      </w:tr>
      <w:tr w:rsidR="00A363F2" w:rsidRPr="00226E0B" w:rsidTr="0071669E">
        <w:tc>
          <w:tcPr>
            <w:tcW w:w="2605" w:type="dxa"/>
          </w:tcPr>
          <w:p w:rsidR="00A363F2" w:rsidRPr="00226E0B" w:rsidRDefault="00A363F2" w:rsidP="0071669E">
            <w:pPr>
              <w:spacing w:after="0" w:line="240" w:lineRule="auto"/>
              <w:rPr>
                <w:rFonts w:ascii="Times New Roman" w:hAnsi="Times New Roman" w:cs="Times New Roman"/>
                <w:noProof/>
                <w:sz w:val="24"/>
                <w:szCs w:val="24"/>
                <w:lang w:eastAsia="en-US"/>
              </w:rPr>
            </w:pPr>
          </w:p>
        </w:tc>
        <w:tc>
          <w:tcPr>
            <w:tcW w:w="516" w:type="dxa"/>
          </w:tcPr>
          <w:p w:rsidR="00A363F2" w:rsidRPr="00226E0B" w:rsidRDefault="00A363F2" w:rsidP="0071669E">
            <w:pPr>
              <w:spacing w:after="0" w:line="240" w:lineRule="auto"/>
              <w:jc w:val="both"/>
              <w:rPr>
                <w:rFonts w:ascii="Times New Roman" w:hAnsi="Times New Roman" w:cs="Times New Roman"/>
                <w:sz w:val="24"/>
                <w:szCs w:val="24"/>
                <w:lang w:eastAsia="en-US"/>
              </w:rPr>
            </w:pPr>
          </w:p>
        </w:tc>
        <w:tc>
          <w:tcPr>
            <w:tcW w:w="582" w:type="dxa"/>
            <w:gridSpan w:val="2"/>
          </w:tcPr>
          <w:p w:rsidR="00A363F2" w:rsidRPr="00226E0B" w:rsidRDefault="00A363F2" w:rsidP="0071669E">
            <w:pPr>
              <w:spacing w:after="0" w:line="240" w:lineRule="auto"/>
              <w:jc w:val="both"/>
              <w:rPr>
                <w:rFonts w:ascii="Times New Roman" w:hAnsi="Times New Roman" w:cs="Times New Roman"/>
                <w:sz w:val="24"/>
                <w:szCs w:val="24"/>
                <w:lang w:eastAsia="en-US"/>
              </w:rPr>
            </w:pPr>
          </w:p>
        </w:tc>
        <w:tc>
          <w:tcPr>
            <w:tcW w:w="9381" w:type="dxa"/>
          </w:tcPr>
          <w:p w:rsidR="00A363F2" w:rsidRPr="00226E0B" w:rsidRDefault="00A363F2" w:rsidP="0071669E">
            <w:pPr>
              <w:spacing w:after="0" w:line="240" w:lineRule="auto"/>
              <w:jc w:val="both"/>
              <w:rPr>
                <w:rFonts w:ascii="Times New Roman" w:hAnsi="Times New Roman" w:cs="Times New Roman"/>
                <w:sz w:val="24"/>
                <w:szCs w:val="24"/>
                <w:lang w:eastAsia="en-US"/>
              </w:rPr>
            </w:pPr>
          </w:p>
        </w:tc>
      </w:tr>
      <w:tr w:rsidR="00A363F2" w:rsidRPr="00226E0B" w:rsidTr="0071669E">
        <w:tc>
          <w:tcPr>
            <w:tcW w:w="2605" w:type="dxa"/>
          </w:tcPr>
          <w:p w:rsidR="00A363F2" w:rsidRPr="00226E0B" w:rsidRDefault="00A363F2" w:rsidP="0071669E">
            <w:pPr>
              <w:spacing w:after="0" w:line="240" w:lineRule="auto"/>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Kiralamaya İlişkin Esaslar</w:t>
            </w:r>
          </w:p>
        </w:tc>
        <w:tc>
          <w:tcPr>
            <w:tcW w:w="10479" w:type="dxa"/>
            <w:gridSpan w:val="4"/>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8. Bütçede öngörülen kira ödeneklerinin artışına neden olabilecek kira taahhüdüne girilemez.</w:t>
            </w:r>
          </w:p>
        </w:tc>
      </w:tr>
      <w:tr w:rsidR="00A363F2" w:rsidRPr="00226E0B" w:rsidTr="0071669E">
        <w:tc>
          <w:tcPr>
            <w:tcW w:w="2605" w:type="dxa"/>
          </w:tcPr>
          <w:p w:rsidR="00A363F2" w:rsidRPr="00226E0B" w:rsidRDefault="00A363F2" w:rsidP="0071669E">
            <w:pPr>
              <w:spacing w:after="0" w:line="240" w:lineRule="auto"/>
              <w:rPr>
                <w:rFonts w:ascii="Times New Roman" w:hAnsi="Times New Roman" w:cs="Times New Roman"/>
                <w:noProof/>
                <w:sz w:val="24"/>
                <w:szCs w:val="24"/>
                <w:lang w:eastAsia="en-US"/>
              </w:rPr>
            </w:pPr>
          </w:p>
        </w:tc>
        <w:tc>
          <w:tcPr>
            <w:tcW w:w="516" w:type="dxa"/>
          </w:tcPr>
          <w:p w:rsidR="00A363F2" w:rsidRPr="00226E0B" w:rsidRDefault="00A363F2" w:rsidP="0071669E">
            <w:pPr>
              <w:spacing w:after="0" w:line="240" w:lineRule="auto"/>
              <w:jc w:val="both"/>
              <w:rPr>
                <w:rFonts w:ascii="Times New Roman" w:hAnsi="Times New Roman" w:cs="Times New Roman"/>
                <w:sz w:val="24"/>
                <w:szCs w:val="24"/>
                <w:lang w:eastAsia="en-US"/>
              </w:rPr>
            </w:pPr>
          </w:p>
        </w:tc>
        <w:tc>
          <w:tcPr>
            <w:tcW w:w="9963" w:type="dxa"/>
            <w:gridSpan w:val="3"/>
          </w:tcPr>
          <w:p w:rsidR="00A363F2" w:rsidRPr="00226E0B" w:rsidRDefault="00A363F2" w:rsidP="0071669E">
            <w:pPr>
              <w:spacing w:after="0" w:line="240" w:lineRule="auto"/>
              <w:rPr>
                <w:rFonts w:ascii="Times New Roman" w:hAnsi="Times New Roman" w:cs="Times New Roman"/>
                <w:sz w:val="24"/>
                <w:szCs w:val="24"/>
                <w:lang w:eastAsia="en-US"/>
              </w:rPr>
            </w:pPr>
          </w:p>
        </w:tc>
      </w:tr>
      <w:tr w:rsidR="00A363F2" w:rsidRPr="00226E0B" w:rsidTr="0071669E">
        <w:tc>
          <w:tcPr>
            <w:tcW w:w="2605" w:type="dxa"/>
          </w:tcPr>
          <w:p w:rsidR="00A363F2" w:rsidRPr="00226E0B" w:rsidRDefault="00A363F2" w:rsidP="0071669E">
            <w:pPr>
              <w:spacing w:after="0" w:line="240" w:lineRule="auto"/>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 xml:space="preserve">Müdürün Harcama </w:t>
            </w:r>
          </w:p>
          <w:p w:rsidR="00A363F2" w:rsidRPr="00226E0B" w:rsidRDefault="00A363F2" w:rsidP="0071669E">
            <w:pPr>
              <w:spacing w:after="0" w:line="240" w:lineRule="auto"/>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Yetkisi</w:t>
            </w:r>
          </w:p>
        </w:tc>
        <w:tc>
          <w:tcPr>
            <w:tcW w:w="516" w:type="dxa"/>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9.</w:t>
            </w:r>
          </w:p>
        </w:tc>
        <w:tc>
          <w:tcPr>
            <w:tcW w:w="582" w:type="dxa"/>
            <w:gridSpan w:val="2"/>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(1)</w:t>
            </w:r>
          </w:p>
        </w:tc>
        <w:tc>
          <w:tcPr>
            <w:tcW w:w="9381" w:type="dxa"/>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Kurumun Bütçesinde öngörülen gelirleri tahsil etmeye ve bu maddenin (2)’nci fıkra kuralları çerçevesinde harcama yapmaya, Toprak Ürünleri Kurumu Müdürü yetkilidir.</w:t>
            </w:r>
          </w:p>
        </w:tc>
      </w:tr>
      <w:tr w:rsidR="00A363F2" w:rsidRPr="00226E0B" w:rsidTr="0071669E">
        <w:tc>
          <w:tcPr>
            <w:tcW w:w="2605" w:type="dxa"/>
          </w:tcPr>
          <w:p w:rsidR="00A363F2" w:rsidRPr="00226E0B" w:rsidRDefault="00A363F2" w:rsidP="0071669E">
            <w:pPr>
              <w:spacing w:after="0" w:line="240" w:lineRule="auto"/>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20/2016</w:t>
            </w:r>
          </w:p>
        </w:tc>
        <w:tc>
          <w:tcPr>
            <w:tcW w:w="516" w:type="dxa"/>
          </w:tcPr>
          <w:p w:rsidR="00A363F2" w:rsidRPr="00226E0B" w:rsidRDefault="00A363F2" w:rsidP="0071669E">
            <w:pPr>
              <w:spacing w:after="0" w:line="240" w:lineRule="auto"/>
              <w:jc w:val="both"/>
              <w:rPr>
                <w:rFonts w:ascii="Times New Roman" w:hAnsi="Times New Roman" w:cs="Times New Roman"/>
                <w:sz w:val="24"/>
                <w:szCs w:val="24"/>
                <w:lang w:eastAsia="en-US"/>
              </w:rPr>
            </w:pPr>
          </w:p>
        </w:tc>
        <w:tc>
          <w:tcPr>
            <w:tcW w:w="582" w:type="dxa"/>
            <w:gridSpan w:val="2"/>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(2)</w:t>
            </w:r>
          </w:p>
        </w:tc>
        <w:tc>
          <w:tcPr>
            <w:tcW w:w="9381" w:type="dxa"/>
          </w:tcPr>
          <w:p w:rsidR="00A363F2" w:rsidRPr="00226E0B" w:rsidRDefault="00A363F2" w:rsidP="0071669E">
            <w:pPr>
              <w:spacing w:after="0" w:line="240" w:lineRule="auto"/>
              <w:jc w:val="both"/>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Toprak Ürünleri Kurumunun mal ve hizmet alımları, Kamu İhale Yasası kuralları çerçevesinde gerçekleştirilir.</w:t>
            </w:r>
          </w:p>
        </w:tc>
      </w:tr>
      <w:tr w:rsidR="00A363F2" w:rsidRPr="00226E0B" w:rsidTr="0071669E">
        <w:tc>
          <w:tcPr>
            <w:tcW w:w="2605" w:type="dxa"/>
          </w:tcPr>
          <w:p w:rsidR="00A363F2" w:rsidRPr="00226E0B" w:rsidRDefault="00A363F2" w:rsidP="0071669E">
            <w:pPr>
              <w:spacing w:after="0" w:line="240" w:lineRule="auto"/>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br w:type="page"/>
            </w:r>
          </w:p>
        </w:tc>
        <w:tc>
          <w:tcPr>
            <w:tcW w:w="516" w:type="dxa"/>
          </w:tcPr>
          <w:p w:rsidR="00A363F2" w:rsidRPr="00226E0B" w:rsidRDefault="00A363F2" w:rsidP="0071669E">
            <w:pPr>
              <w:spacing w:after="0" w:line="240" w:lineRule="auto"/>
              <w:jc w:val="both"/>
              <w:rPr>
                <w:rFonts w:ascii="Times New Roman" w:hAnsi="Times New Roman" w:cs="Times New Roman"/>
                <w:sz w:val="24"/>
                <w:szCs w:val="24"/>
                <w:lang w:eastAsia="en-US"/>
              </w:rPr>
            </w:pPr>
          </w:p>
        </w:tc>
        <w:tc>
          <w:tcPr>
            <w:tcW w:w="582" w:type="dxa"/>
            <w:gridSpan w:val="2"/>
          </w:tcPr>
          <w:p w:rsidR="00A363F2" w:rsidRPr="00226E0B" w:rsidRDefault="00A363F2" w:rsidP="0071669E">
            <w:pPr>
              <w:spacing w:after="0" w:line="240" w:lineRule="auto"/>
              <w:jc w:val="both"/>
              <w:rPr>
                <w:rFonts w:ascii="Times New Roman" w:hAnsi="Times New Roman" w:cs="Times New Roman"/>
                <w:sz w:val="24"/>
                <w:szCs w:val="24"/>
                <w:lang w:eastAsia="en-US"/>
              </w:rPr>
            </w:pPr>
          </w:p>
        </w:tc>
        <w:tc>
          <w:tcPr>
            <w:tcW w:w="9381" w:type="dxa"/>
          </w:tcPr>
          <w:p w:rsidR="00A363F2" w:rsidRPr="00226E0B" w:rsidRDefault="00A363F2" w:rsidP="0071669E">
            <w:pPr>
              <w:spacing w:after="0" w:line="240" w:lineRule="auto"/>
              <w:jc w:val="both"/>
              <w:rPr>
                <w:rFonts w:ascii="Times New Roman" w:hAnsi="Times New Roman" w:cs="Times New Roman"/>
                <w:sz w:val="24"/>
                <w:szCs w:val="24"/>
                <w:lang w:eastAsia="en-US"/>
              </w:rPr>
            </w:pPr>
          </w:p>
        </w:tc>
      </w:tr>
    </w:tbl>
    <w:p w:rsidR="00A363F2" w:rsidRPr="00226E0B" w:rsidRDefault="00A363F2" w:rsidP="00A363F2">
      <w:pPr>
        <w:rPr>
          <w:rFonts w:eastAsia="Calibri" w:cs="Times New Roman"/>
          <w:lang w:eastAsia="en-US"/>
        </w:rPr>
      </w:pPr>
      <w:r w:rsidRPr="00226E0B">
        <w:rPr>
          <w:rFonts w:eastAsia="Calibri" w:cs="Times New Roman"/>
          <w:lang w:eastAsia="en-US"/>
        </w:rPr>
        <w:br w:type="page"/>
      </w:r>
    </w:p>
    <w:tbl>
      <w:tblPr>
        <w:tblW w:w="0" w:type="auto"/>
        <w:tblLook w:val="0000" w:firstRow="0" w:lastRow="0" w:firstColumn="0" w:lastColumn="0" w:noHBand="0" w:noVBand="0"/>
      </w:tblPr>
      <w:tblGrid>
        <w:gridCol w:w="2605"/>
        <w:gridCol w:w="13"/>
        <w:gridCol w:w="503"/>
        <w:gridCol w:w="582"/>
        <w:gridCol w:w="9446"/>
      </w:tblGrid>
      <w:tr w:rsidR="00A363F2" w:rsidRPr="00226E0B" w:rsidTr="0071669E">
        <w:tc>
          <w:tcPr>
            <w:tcW w:w="13149" w:type="dxa"/>
            <w:gridSpan w:val="5"/>
          </w:tcPr>
          <w:p w:rsidR="00A363F2" w:rsidRPr="00226E0B" w:rsidRDefault="00A363F2" w:rsidP="0071669E">
            <w:pPr>
              <w:spacing w:after="0" w:line="240" w:lineRule="auto"/>
              <w:jc w:val="center"/>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lastRenderedPageBreak/>
              <w:t>İKİNCİ BÖLÜM</w:t>
            </w:r>
          </w:p>
          <w:p w:rsidR="00A363F2" w:rsidRPr="00226E0B" w:rsidRDefault="00A363F2" w:rsidP="0071669E">
            <w:pPr>
              <w:spacing w:after="0" w:line="240" w:lineRule="auto"/>
              <w:jc w:val="center"/>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 xml:space="preserve">Aktarmalar </w:t>
            </w:r>
          </w:p>
          <w:p w:rsidR="00A363F2" w:rsidRPr="00226E0B" w:rsidRDefault="00A363F2" w:rsidP="0071669E">
            <w:pPr>
              <w:spacing w:after="0" w:line="240" w:lineRule="auto"/>
              <w:jc w:val="both"/>
              <w:rPr>
                <w:rFonts w:ascii="Times New Roman" w:hAnsi="Times New Roman" w:cs="Times New Roman"/>
                <w:sz w:val="24"/>
                <w:szCs w:val="24"/>
                <w:lang w:eastAsia="en-US"/>
              </w:rPr>
            </w:pPr>
          </w:p>
        </w:tc>
      </w:tr>
      <w:tr w:rsidR="00A363F2" w:rsidRPr="00226E0B" w:rsidTr="0071669E">
        <w:tc>
          <w:tcPr>
            <w:tcW w:w="2605" w:type="dxa"/>
          </w:tcPr>
          <w:p w:rsidR="00A363F2" w:rsidRPr="00226E0B" w:rsidRDefault="00A363F2" w:rsidP="0071669E">
            <w:pPr>
              <w:spacing w:after="0" w:line="240" w:lineRule="auto"/>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Aktarma Yöntem ve Kuralları</w:t>
            </w:r>
          </w:p>
        </w:tc>
        <w:tc>
          <w:tcPr>
            <w:tcW w:w="516" w:type="dxa"/>
            <w:gridSpan w:val="2"/>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10.</w:t>
            </w:r>
          </w:p>
        </w:tc>
        <w:tc>
          <w:tcPr>
            <w:tcW w:w="582" w:type="dxa"/>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(1)</w:t>
            </w:r>
          </w:p>
        </w:tc>
        <w:tc>
          <w:tcPr>
            <w:tcW w:w="9446" w:type="dxa"/>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Kurum Bütçesinin kalemleri arasındaki aktarmalar, Toprak Ürünleri Kurumu Müdürünün ve Yönetim Kurulunun önerisi üzerine Tarım İşleriyle Görevli Bakanın onayı ile yapılır.</w:t>
            </w:r>
          </w:p>
        </w:tc>
      </w:tr>
      <w:tr w:rsidR="00A363F2" w:rsidRPr="00226E0B" w:rsidTr="0071669E">
        <w:tc>
          <w:tcPr>
            <w:tcW w:w="2605" w:type="dxa"/>
          </w:tcPr>
          <w:p w:rsidR="00A363F2" w:rsidRPr="00226E0B" w:rsidRDefault="00A363F2" w:rsidP="0071669E">
            <w:pPr>
              <w:spacing w:after="0" w:line="240" w:lineRule="auto"/>
              <w:rPr>
                <w:rFonts w:ascii="Times New Roman" w:hAnsi="Times New Roman" w:cs="Times New Roman"/>
                <w:noProof/>
                <w:sz w:val="24"/>
                <w:szCs w:val="24"/>
                <w:lang w:eastAsia="en-US"/>
              </w:rPr>
            </w:pPr>
          </w:p>
        </w:tc>
        <w:tc>
          <w:tcPr>
            <w:tcW w:w="516" w:type="dxa"/>
            <w:gridSpan w:val="2"/>
          </w:tcPr>
          <w:p w:rsidR="00A363F2" w:rsidRPr="00226E0B" w:rsidRDefault="00A363F2" w:rsidP="0071669E">
            <w:pPr>
              <w:spacing w:after="0" w:line="240" w:lineRule="auto"/>
              <w:jc w:val="both"/>
              <w:rPr>
                <w:rFonts w:ascii="Times New Roman" w:hAnsi="Times New Roman" w:cs="Times New Roman"/>
                <w:sz w:val="24"/>
                <w:szCs w:val="24"/>
                <w:lang w:eastAsia="en-US"/>
              </w:rPr>
            </w:pPr>
          </w:p>
        </w:tc>
        <w:tc>
          <w:tcPr>
            <w:tcW w:w="582" w:type="dxa"/>
          </w:tcPr>
          <w:p w:rsidR="00A363F2" w:rsidRPr="00226E0B" w:rsidRDefault="00A363F2" w:rsidP="0071669E">
            <w:pPr>
              <w:spacing w:after="0" w:line="240" w:lineRule="auto"/>
              <w:jc w:val="both"/>
              <w:rPr>
                <w:rFonts w:ascii="Times New Roman" w:hAnsi="Times New Roman" w:cs="Times New Roman"/>
                <w:sz w:val="20"/>
                <w:szCs w:val="24"/>
                <w:lang w:val="x-none" w:eastAsia="x-none"/>
              </w:rPr>
            </w:pPr>
            <w:r w:rsidRPr="00226E0B">
              <w:rPr>
                <w:rFonts w:ascii="Times New Roman" w:hAnsi="Times New Roman" w:cs="Times New Roman"/>
                <w:sz w:val="24"/>
                <w:szCs w:val="24"/>
                <w:lang w:eastAsia="en-US"/>
              </w:rPr>
              <w:t>(2)</w:t>
            </w:r>
          </w:p>
        </w:tc>
        <w:tc>
          <w:tcPr>
            <w:tcW w:w="9446" w:type="dxa"/>
          </w:tcPr>
          <w:p w:rsidR="00A363F2" w:rsidRPr="00226E0B" w:rsidRDefault="00A363F2" w:rsidP="0071669E">
            <w:pPr>
              <w:spacing w:after="0" w:line="240" w:lineRule="auto"/>
              <w:jc w:val="both"/>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“Personel Giderleri”, “Sosyal Güvenlik Kurumuna Kurum Primi Giderleri”, “Cari Transfer Giderleri”, “Faiz Giderleri” ve “Sermaye Giderleri” kalemlerinden “Mal ve Hizmet Alım Giderleri” kalemlerine aktarma yapılamaz.</w:t>
            </w:r>
          </w:p>
        </w:tc>
      </w:tr>
      <w:tr w:rsidR="00A363F2" w:rsidRPr="00226E0B" w:rsidTr="0071669E">
        <w:tc>
          <w:tcPr>
            <w:tcW w:w="2605" w:type="dxa"/>
          </w:tcPr>
          <w:p w:rsidR="00A363F2" w:rsidRPr="00226E0B" w:rsidRDefault="00A363F2" w:rsidP="0071669E">
            <w:pPr>
              <w:spacing w:after="0" w:line="240" w:lineRule="auto"/>
              <w:rPr>
                <w:rFonts w:ascii="Times New Roman" w:hAnsi="Times New Roman" w:cs="Times New Roman"/>
                <w:noProof/>
                <w:sz w:val="24"/>
                <w:szCs w:val="24"/>
                <w:lang w:eastAsia="en-US"/>
              </w:rPr>
            </w:pPr>
          </w:p>
        </w:tc>
        <w:tc>
          <w:tcPr>
            <w:tcW w:w="516" w:type="dxa"/>
            <w:gridSpan w:val="2"/>
          </w:tcPr>
          <w:p w:rsidR="00A363F2" w:rsidRPr="00226E0B" w:rsidRDefault="00A363F2" w:rsidP="0071669E">
            <w:pPr>
              <w:spacing w:after="0" w:line="240" w:lineRule="auto"/>
              <w:jc w:val="both"/>
              <w:rPr>
                <w:rFonts w:ascii="Times New Roman" w:hAnsi="Times New Roman" w:cs="Times New Roman"/>
                <w:sz w:val="24"/>
                <w:szCs w:val="24"/>
                <w:lang w:eastAsia="en-US"/>
              </w:rPr>
            </w:pPr>
          </w:p>
        </w:tc>
        <w:tc>
          <w:tcPr>
            <w:tcW w:w="582" w:type="dxa"/>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(3)</w:t>
            </w:r>
          </w:p>
        </w:tc>
        <w:tc>
          <w:tcPr>
            <w:tcW w:w="9446" w:type="dxa"/>
          </w:tcPr>
          <w:p w:rsidR="00A363F2" w:rsidRPr="00226E0B" w:rsidRDefault="00A363F2" w:rsidP="0071669E">
            <w:pPr>
              <w:spacing w:after="0" w:line="240" w:lineRule="auto"/>
              <w:jc w:val="both"/>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Aktarma önerileri, Toprak Ürünleri Kurumu Müdürünün ve Yönetim Kurulunun önerisi üzerine Tarım İşleriyle Görevli Bakanlığa gönderilir ve Bakanlık öneriyi gerekli işleme koyar.</w:t>
            </w:r>
          </w:p>
        </w:tc>
      </w:tr>
      <w:tr w:rsidR="00A363F2" w:rsidRPr="00226E0B" w:rsidTr="0071669E">
        <w:tc>
          <w:tcPr>
            <w:tcW w:w="2605" w:type="dxa"/>
          </w:tcPr>
          <w:p w:rsidR="00A363F2" w:rsidRPr="00226E0B" w:rsidRDefault="00A363F2" w:rsidP="0071669E">
            <w:pPr>
              <w:spacing w:after="0" w:line="240" w:lineRule="auto"/>
              <w:rPr>
                <w:rFonts w:ascii="Times New Roman" w:hAnsi="Times New Roman" w:cs="Times New Roman"/>
                <w:noProof/>
                <w:sz w:val="24"/>
                <w:szCs w:val="24"/>
                <w:lang w:eastAsia="en-US"/>
              </w:rPr>
            </w:pPr>
          </w:p>
        </w:tc>
        <w:tc>
          <w:tcPr>
            <w:tcW w:w="516" w:type="dxa"/>
            <w:gridSpan w:val="2"/>
          </w:tcPr>
          <w:p w:rsidR="00A363F2" w:rsidRPr="00226E0B" w:rsidRDefault="00A363F2" w:rsidP="0071669E">
            <w:pPr>
              <w:spacing w:after="0" w:line="240" w:lineRule="auto"/>
              <w:jc w:val="both"/>
              <w:rPr>
                <w:rFonts w:ascii="Times New Roman" w:hAnsi="Times New Roman" w:cs="Times New Roman"/>
                <w:sz w:val="24"/>
                <w:szCs w:val="24"/>
                <w:lang w:eastAsia="en-US"/>
              </w:rPr>
            </w:pPr>
          </w:p>
        </w:tc>
        <w:tc>
          <w:tcPr>
            <w:tcW w:w="582" w:type="dxa"/>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(4)</w:t>
            </w:r>
          </w:p>
        </w:tc>
        <w:tc>
          <w:tcPr>
            <w:tcW w:w="9446" w:type="dxa"/>
          </w:tcPr>
          <w:p w:rsidR="00A363F2" w:rsidRPr="00226E0B" w:rsidRDefault="00A363F2" w:rsidP="0071669E">
            <w:pPr>
              <w:spacing w:after="0" w:line="240" w:lineRule="auto"/>
              <w:jc w:val="both"/>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Aktarma veya ek ödenek, usulüne uygun olarak onaylanmadıkça Bütçe borçlandırılamaz ve yükümlülük altına girilemez.</w:t>
            </w:r>
          </w:p>
        </w:tc>
      </w:tr>
      <w:tr w:rsidR="00A363F2" w:rsidRPr="00226E0B" w:rsidTr="0071669E">
        <w:trPr>
          <w:cantSplit/>
        </w:trPr>
        <w:tc>
          <w:tcPr>
            <w:tcW w:w="2605" w:type="dxa"/>
          </w:tcPr>
          <w:p w:rsidR="00A363F2" w:rsidRPr="00226E0B" w:rsidRDefault="00A363F2" w:rsidP="0071669E">
            <w:pPr>
              <w:spacing w:after="0" w:line="240" w:lineRule="auto"/>
              <w:rPr>
                <w:rFonts w:ascii="Times New Roman" w:hAnsi="Times New Roman" w:cs="Times New Roman"/>
                <w:noProof/>
                <w:sz w:val="24"/>
                <w:szCs w:val="24"/>
                <w:lang w:eastAsia="en-US"/>
              </w:rPr>
            </w:pPr>
          </w:p>
        </w:tc>
        <w:tc>
          <w:tcPr>
            <w:tcW w:w="516" w:type="dxa"/>
            <w:gridSpan w:val="2"/>
          </w:tcPr>
          <w:p w:rsidR="00A363F2" w:rsidRPr="00226E0B" w:rsidRDefault="00A363F2" w:rsidP="0071669E">
            <w:pPr>
              <w:spacing w:after="0" w:line="240" w:lineRule="auto"/>
              <w:jc w:val="both"/>
              <w:rPr>
                <w:rFonts w:ascii="Times New Roman" w:hAnsi="Times New Roman" w:cs="Times New Roman"/>
                <w:sz w:val="24"/>
                <w:szCs w:val="24"/>
                <w:lang w:eastAsia="en-US"/>
              </w:rPr>
            </w:pPr>
          </w:p>
        </w:tc>
        <w:tc>
          <w:tcPr>
            <w:tcW w:w="582" w:type="dxa"/>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(5)</w:t>
            </w:r>
          </w:p>
        </w:tc>
        <w:tc>
          <w:tcPr>
            <w:tcW w:w="9446" w:type="dxa"/>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Bakanlar Kurulunun onayı alınmadan, herhangi bir madde altında öngörülen bir hizmetin yerine getirilmemesi nedeniyle kullanılmayan ödenek ile Bütçede öngörülen bir ödeneğin %50 (yüzde elli)’sinden fazla miktarı başka bir maddeye aktarılamaz.</w:t>
            </w:r>
          </w:p>
        </w:tc>
      </w:tr>
      <w:tr w:rsidR="00A363F2" w:rsidRPr="00226E0B" w:rsidTr="0071669E">
        <w:trPr>
          <w:cantSplit/>
        </w:trPr>
        <w:tc>
          <w:tcPr>
            <w:tcW w:w="2605" w:type="dxa"/>
          </w:tcPr>
          <w:p w:rsidR="00A363F2" w:rsidRPr="00226E0B" w:rsidRDefault="00A363F2" w:rsidP="0071669E">
            <w:pPr>
              <w:spacing w:after="0" w:line="240" w:lineRule="auto"/>
              <w:rPr>
                <w:rFonts w:ascii="Times New Roman" w:hAnsi="Times New Roman" w:cs="Times New Roman"/>
                <w:noProof/>
                <w:sz w:val="24"/>
                <w:szCs w:val="24"/>
                <w:lang w:eastAsia="en-US"/>
              </w:rPr>
            </w:pPr>
          </w:p>
        </w:tc>
        <w:tc>
          <w:tcPr>
            <w:tcW w:w="516" w:type="dxa"/>
            <w:gridSpan w:val="2"/>
          </w:tcPr>
          <w:p w:rsidR="00A363F2" w:rsidRPr="00226E0B" w:rsidRDefault="00A363F2" w:rsidP="0071669E">
            <w:pPr>
              <w:spacing w:after="0" w:line="240" w:lineRule="auto"/>
              <w:jc w:val="both"/>
              <w:rPr>
                <w:rFonts w:ascii="Times New Roman" w:hAnsi="Times New Roman" w:cs="Times New Roman"/>
                <w:sz w:val="24"/>
                <w:szCs w:val="24"/>
                <w:lang w:eastAsia="en-US"/>
              </w:rPr>
            </w:pPr>
          </w:p>
        </w:tc>
        <w:tc>
          <w:tcPr>
            <w:tcW w:w="582" w:type="dxa"/>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(6)</w:t>
            </w:r>
          </w:p>
        </w:tc>
        <w:tc>
          <w:tcPr>
            <w:tcW w:w="9446" w:type="dxa"/>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Aktarma suretiyle ödeneği azaltılan bir maddeye sonradan aktarma yapılamaz.</w:t>
            </w:r>
          </w:p>
        </w:tc>
      </w:tr>
      <w:tr w:rsidR="00A363F2" w:rsidRPr="00226E0B" w:rsidTr="0071669E">
        <w:trPr>
          <w:cantSplit/>
        </w:trPr>
        <w:tc>
          <w:tcPr>
            <w:tcW w:w="2605" w:type="dxa"/>
          </w:tcPr>
          <w:p w:rsidR="00A363F2" w:rsidRPr="00226E0B" w:rsidRDefault="00A363F2" w:rsidP="0071669E">
            <w:pPr>
              <w:spacing w:after="0" w:line="240" w:lineRule="auto"/>
              <w:rPr>
                <w:rFonts w:ascii="Times New Roman" w:hAnsi="Times New Roman" w:cs="Times New Roman"/>
                <w:noProof/>
                <w:sz w:val="24"/>
                <w:szCs w:val="24"/>
                <w:lang w:eastAsia="en-US"/>
              </w:rPr>
            </w:pPr>
          </w:p>
        </w:tc>
        <w:tc>
          <w:tcPr>
            <w:tcW w:w="516" w:type="dxa"/>
            <w:gridSpan w:val="2"/>
          </w:tcPr>
          <w:p w:rsidR="00A363F2" w:rsidRPr="00226E0B" w:rsidRDefault="00A363F2" w:rsidP="0071669E">
            <w:pPr>
              <w:spacing w:after="0" w:line="240" w:lineRule="auto"/>
              <w:jc w:val="both"/>
              <w:rPr>
                <w:rFonts w:ascii="Times New Roman" w:hAnsi="Times New Roman" w:cs="Times New Roman"/>
                <w:sz w:val="24"/>
                <w:szCs w:val="24"/>
                <w:lang w:eastAsia="en-US"/>
              </w:rPr>
            </w:pPr>
          </w:p>
        </w:tc>
        <w:tc>
          <w:tcPr>
            <w:tcW w:w="582" w:type="dxa"/>
          </w:tcPr>
          <w:p w:rsidR="00A363F2" w:rsidRPr="00226E0B" w:rsidRDefault="00A363F2" w:rsidP="0071669E">
            <w:pPr>
              <w:spacing w:after="0" w:line="240" w:lineRule="auto"/>
              <w:jc w:val="both"/>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(7)</w:t>
            </w:r>
          </w:p>
        </w:tc>
        <w:tc>
          <w:tcPr>
            <w:tcW w:w="9446" w:type="dxa"/>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Aktarma suretiyle ödeneği artırılan bir maddeden başka bir maddeye aktarma yapılamaz.</w:t>
            </w:r>
          </w:p>
        </w:tc>
      </w:tr>
      <w:tr w:rsidR="00A363F2" w:rsidRPr="00226E0B" w:rsidTr="0071669E">
        <w:trPr>
          <w:cantSplit/>
          <w:trHeight w:val="182"/>
        </w:trPr>
        <w:tc>
          <w:tcPr>
            <w:tcW w:w="2605" w:type="dxa"/>
          </w:tcPr>
          <w:p w:rsidR="00A363F2" w:rsidRPr="00226E0B" w:rsidRDefault="00A363F2" w:rsidP="0071669E">
            <w:pPr>
              <w:spacing w:after="0" w:line="240" w:lineRule="auto"/>
              <w:rPr>
                <w:rFonts w:ascii="Times New Roman" w:hAnsi="Times New Roman" w:cs="Times New Roman"/>
                <w:noProof/>
                <w:sz w:val="24"/>
                <w:szCs w:val="24"/>
                <w:lang w:eastAsia="en-US"/>
              </w:rPr>
            </w:pPr>
          </w:p>
        </w:tc>
        <w:tc>
          <w:tcPr>
            <w:tcW w:w="516" w:type="dxa"/>
            <w:gridSpan w:val="2"/>
          </w:tcPr>
          <w:p w:rsidR="00A363F2" w:rsidRPr="00226E0B" w:rsidRDefault="00A363F2" w:rsidP="0071669E">
            <w:pPr>
              <w:spacing w:after="0" w:line="240" w:lineRule="auto"/>
              <w:rPr>
                <w:rFonts w:ascii="Times New Roman" w:hAnsi="Times New Roman" w:cs="Times New Roman"/>
                <w:noProof/>
                <w:sz w:val="24"/>
                <w:szCs w:val="24"/>
                <w:lang w:eastAsia="en-US"/>
              </w:rPr>
            </w:pPr>
          </w:p>
        </w:tc>
        <w:tc>
          <w:tcPr>
            <w:tcW w:w="582" w:type="dxa"/>
          </w:tcPr>
          <w:p w:rsidR="00A363F2" w:rsidRPr="00226E0B" w:rsidRDefault="00A363F2" w:rsidP="0071669E">
            <w:pPr>
              <w:spacing w:after="0" w:line="240" w:lineRule="auto"/>
              <w:jc w:val="both"/>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(8)</w:t>
            </w:r>
          </w:p>
        </w:tc>
        <w:tc>
          <w:tcPr>
            <w:tcW w:w="9446" w:type="dxa"/>
          </w:tcPr>
          <w:p w:rsidR="00A363F2" w:rsidRPr="00226E0B" w:rsidRDefault="00A363F2" w:rsidP="0071669E">
            <w:pPr>
              <w:spacing w:after="0" w:line="240" w:lineRule="auto"/>
              <w:jc w:val="both"/>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Ekonomik 4. Düzey Temsil Giderleri Ödeneği, aktarma yapılmak suretiyle artırılamaz.</w:t>
            </w:r>
          </w:p>
        </w:tc>
      </w:tr>
      <w:tr w:rsidR="00A363F2" w:rsidRPr="00226E0B" w:rsidTr="0071669E">
        <w:trPr>
          <w:cantSplit/>
          <w:trHeight w:val="182"/>
        </w:trPr>
        <w:tc>
          <w:tcPr>
            <w:tcW w:w="2605" w:type="dxa"/>
          </w:tcPr>
          <w:p w:rsidR="00A363F2" w:rsidRPr="00226E0B" w:rsidRDefault="00A363F2" w:rsidP="0071669E">
            <w:pPr>
              <w:spacing w:after="0" w:line="240" w:lineRule="auto"/>
              <w:rPr>
                <w:rFonts w:ascii="Times New Roman" w:hAnsi="Times New Roman" w:cs="Times New Roman"/>
                <w:noProof/>
                <w:sz w:val="24"/>
                <w:szCs w:val="24"/>
                <w:lang w:eastAsia="en-US"/>
              </w:rPr>
            </w:pPr>
          </w:p>
        </w:tc>
        <w:tc>
          <w:tcPr>
            <w:tcW w:w="516" w:type="dxa"/>
            <w:gridSpan w:val="2"/>
          </w:tcPr>
          <w:p w:rsidR="00A363F2" w:rsidRPr="00226E0B" w:rsidRDefault="00A363F2" w:rsidP="0071669E">
            <w:pPr>
              <w:spacing w:after="0" w:line="240" w:lineRule="auto"/>
              <w:rPr>
                <w:rFonts w:ascii="Times New Roman" w:hAnsi="Times New Roman" w:cs="Times New Roman"/>
                <w:noProof/>
                <w:sz w:val="24"/>
                <w:szCs w:val="24"/>
                <w:lang w:eastAsia="en-US"/>
              </w:rPr>
            </w:pPr>
          </w:p>
        </w:tc>
        <w:tc>
          <w:tcPr>
            <w:tcW w:w="582" w:type="dxa"/>
          </w:tcPr>
          <w:p w:rsidR="00A363F2" w:rsidRPr="00226E0B" w:rsidRDefault="00A363F2" w:rsidP="0071669E">
            <w:pPr>
              <w:spacing w:after="0" w:line="240" w:lineRule="auto"/>
              <w:rPr>
                <w:rFonts w:ascii="Times New Roman" w:hAnsi="Times New Roman" w:cs="Times New Roman"/>
                <w:noProof/>
                <w:sz w:val="24"/>
                <w:szCs w:val="24"/>
                <w:lang w:eastAsia="en-US"/>
              </w:rPr>
            </w:pPr>
          </w:p>
        </w:tc>
        <w:tc>
          <w:tcPr>
            <w:tcW w:w="9446" w:type="dxa"/>
          </w:tcPr>
          <w:p w:rsidR="00A363F2" w:rsidRPr="00226E0B" w:rsidRDefault="00A363F2" w:rsidP="0071669E">
            <w:pPr>
              <w:spacing w:after="0" w:line="240" w:lineRule="auto"/>
              <w:rPr>
                <w:rFonts w:ascii="Times New Roman" w:hAnsi="Times New Roman" w:cs="Times New Roman"/>
                <w:noProof/>
                <w:sz w:val="24"/>
                <w:szCs w:val="24"/>
                <w:lang w:eastAsia="en-US"/>
              </w:rPr>
            </w:pPr>
          </w:p>
        </w:tc>
      </w:tr>
      <w:tr w:rsidR="00A363F2" w:rsidRPr="00226E0B" w:rsidTr="0071669E">
        <w:trPr>
          <w:cantSplit/>
          <w:trHeight w:val="182"/>
        </w:trPr>
        <w:tc>
          <w:tcPr>
            <w:tcW w:w="13149" w:type="dxa"/>
            <w:gridSpan w:val="5"/>
          </w:tcPr>
          <w:p w:rsidR="00A363F2" w:rsidRPr="00226E0B" w:rsidRDefault="00A363F2" w:rsidP="0071669E">
            <w:pPr>
              <w:spacing w:after="0" w:line="240" w:lineRule="auto"/>
              <w:jc w:val="center"/>
              <w:rPr>
                <w:rFonts w:ascii="Times New Roman" w:hAnsi="Times New Roman" w:cs="Times New Roman"/>
                <w:sz w:val="24"/>
                <w:szCs w:val="24"/>
                <w:lang w:eastAsia="en-US"/>
              </w:rPr>
            </w:pPr>
            <w:r w:rsidRPr="00226E0B">
              <w:rPr>
                <w:rFonts w:ascii="Times New Roman" w:hAnsi="Times New Roman" w:cs="Times New Roman"/>
                <w:sz w:val="24"/>
                <w:szCs w:val="24"/>
                <w:lang w:eastAsia="en-US"/>
              </w:rPr>
              <w:t>ÜÇÜNCÜ BÖLÜM</w:t>
            </w:r>
          </w:p>
          <w:p w:rsidR="00A363F2" w:rsidRPr="00226E0B" w:rsidRDefault="00A363F2" w:rsidP="0071669E">
            <w:pPr>
              <w:spacing w:after="0" w:line="240" w:lineRule="auto"/>
              <w:jc w:val="center"/>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Ek Ödenek</w:t>
            </w:r>
          </w:p>
        </w:tc>
      </w:tr>
      <w:tr w:rsidR="00A363F2" w:rsidRPr="00226E0B" w:rsidTr="0071669E">
        <w:trPr>
          <w:cantSplit/>
          <w:trHeight w:val="182"/>
        </w:trPr>
        <w:tc>
          <w:tcPr>
            <w:tcW w:w="13149" w:type="dxa"/>
            <w:gridSpan w:val="5"/>
          </w:tcPr>
          <w:p w:rsidR="00A363F2" w:rsidRPr="00226E0B" w:rsidRDefault="00A363F2" w:rsidP="0071669E">
            <w:pPr>
              <w:spacing w:after="0" w:line="240" w:lineRule="auto"/>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br w:type="page"/>
            </w:r>
          </w:p>
        </w:tc>
      </w:tr>
      <w:tr w:rsidR="00A363F2" w:rsidRPr="00226E0B" w:rsidTr="0071669E">
        <w:tc>
          <w:tcPr>
            <w:tcW w:w="2618" w:type="dxa"/>
            <w:gridSpan w:val="2"/>
          </w:tcPr>
          <w:p w:rsidR="00A363F2" w:rsidRPr="00226E0B" w:rsidRDefault="00A363F2" w:rsidP="0071669E">
            <w:pPr>
              <w:spacing w:after="0" w:line="240" w:lineRule="auto"/>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 xml:space="preserve">Bakanlar Kurulunun </w:t>
            </w:r>
          </w:p>
          <w:p w:rsidR="00A363F2" w:rsidRPr="00226E0B" w:rsidRDefault="00A363F2" w:rsidP="0071669E">
            <w:pPr>
              <w:spacing w:after="0" w:line="240" w:lineRule="auto"/>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Ek Ödenek Yetkisi</w:t>
            </w:r>
          </w:p>
        </w:tc>
        <w:tc>
          <w:tcPr>
            <w:tcW w:w="10531" w:type="dxa"/>
            <w:gridSpan w:val="3"/>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11. Belirli bir hizmetin yerine getirilmesi için şartlı olarak Kuruma yapılan bağışlar ve verilen kredilerin Bütçenin “Gelirler”  kısmına gelir kaydedilerek, “Giderler” kısmında açılacak özel maddeye ödenek kaydı Bakanlar Kurulunun onayıyla yapılır.</w:t>
            </w:r>
          </w:p>
        </w:tc>
      </w:tr>
      <w:tr w:rsidR="00A363F2" w:rsidRPr="00226E0B" w:rsidTr="0071669E">
        <w:tc>
          <w:tcPr>
            <w:tcW w:w="2618" w:type="dxa"/>
            <w:gridSpan w:val="2"/>
          </w:tcPr>
          <w:p w:rsidR="00A363F2" w:rsidRPr="00226E0B" w:rsidRDefault="00A363F2" w:rsidP="0071669E">
            <w:pPr>
              <w:spacing w:after="0" w:line="240" w:lineRule="auto"/>
              <w:rPr>
                <w:rFonts w:ascii="Times New Roman" w:hAnsi="Times New Roman" w:cs="Times New Roman"/>
                <w:noProof/>
                <w:sz w:val="24"/>
                <w:szCs w:val="24"/>
                <w:lang w:eastAsia="en-US"/>
              </w:rPr>
            </w:pPr>
          </w:p>
        </w:tc>
        <w:tc>
          <w:tcPr>
            <w:tcW w:w="10531" w:type="dxa"/>
            <w:gridSpan w:val="3"/>
          </w:tcPr>
          <w:p w:rsidR="00A363F2" w:rsidRPr="00226E0B" w:rsidRDefault="00A363F2" w:rsidP="0071669E">
            <w:pPr>
              <w:spacing w:after="0" w:line="240" w:lineRule="auto"/>
              <w:jc w:val="both"/>
              <w:rPr>
                <w:rFonts w:ascii="Times New Roman" w:hAnsi="Times New Roman" w:cs="Times New Roman"/>
                <w:sz w:val="24"/>
                <w:szCs w:val="24"/>
                <w:lang w:eastAsia="en-US"/>
              </w:rPr>
            </w:pPr>
          </w:p>
        </w:tc>
      </w:tr>
      <w:tr w:rsidR="00A363F2" w:rsidRPr="00226E0B" w:rsidTr="0071669E">
        <w:tc>
          <w:tcPr>
            <w:tcW w:w="2618" w:type="dxa"/>
            <w:gridSpan w:val="2"/>
          </w:tcPr>
          <w:p w:rsidR="00A363F2" w:rsidRPr="00226E0B" w:rsidRDefault="00A363F2" w:rsidP="0071669E">
            <w:pPr>
              <w:spacing w:after="0" w:line="240" w:lineRule="auto"/>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Bütçenin Borçlandırılamaması</w:t>
            </w:r>
          </w:p>
        </w:tc>
        <w:tc>
          <w:tcPr>
            <w:tcW w:w="10531" w:type="dxa"/>
            <w:gridSpan w:val="3"/>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12. Ek ödenek ve aktarma önerileri, usulüne uygun şekilde kesinleşmedikçe söz konusu öneriler       harcamalara esas alınamaz ve Bütçe borçlandırılamaz.</w:t>
            </w:r>
          </w:p>
        </w:tc>
      </w:tr>
      <w:tr w:rsidR="00A363F2" w:rsidRPr="00226E0B" w:rsidTr="0071669E">
        <w:tc>
          <w:tcPr>
            <w:tcW w:w="2618" w:type="dxa"/>
            <w:gridSpan w:val="2"/>
          </w:tcPr>
          <w:p w:rsidR="00A363F2" w:rsidRPr="00226E0B" w:rsidRDefault="00A363F2" w:rsidP="0071669E">
            <w:pPr>
              <w:spacing w:after="0" w:line="240" w:lineRule="auto"/>
              <w:rPr>
                <w:rFonts w:ascii="Times New Roman" w:hAnsi="Times New Roman" w:cs="Times New Roman"/>
                <w:noProof/>
                <w:sz w:val="24"/>
                <w:szCs w:val="24"/>
                <w:lang w:eastAsia="en-US"/>
              </w:rPr>
            </w:pPr>
          </w:p>
        </w:tc>
        <w:tc>
          <w:tcPr>
            <w:tcW w:w="10531" w:type="dxa"/>
            <w:gridSpan w:val="3"/>
          </w:tcPr>
          <w:p w:rsidR="00A363F2" w:rsidRPr="00226E0B" w:rsidRDefault="00A363F2" w:rsidP="0071669E">
            <w:pPr>
              <w:spacing w:after="0" w:line="240" w:lineRule="auto"/>
              <w:jc w:val="both"/>
              <w:rPr>
                <w:rFonts w:ascii="Times New Roman" w:hAnsi="Times New Roman" w:cs="Times New Roman"/>
                <w:sz w:val="24"/>
                <w:szCs w:val="24"/>
                <w:lang w:eastAsia="en-US"/>
              </w:rPr>
            </w:pPr>
          </w:p>
        </w:tc>
      </w:tr>
      <w:tr w:rsidR="00A363F2" w:rsidRPr="00226E0B" w:rsidTr="0071669E">
        <w:tc>
          <w:tcPr>
            <w:tcW w:w="2618" w:type="dxa"/>
            <w:gridSpan w:val="2"/>
          </w:tcPr>
          <w:p w:rsidR="00A363F2" w:rsidRPr="00226E0B" w:rsidRDefault="00A363F2" w:rsidP="0071669E">
            <w:pPr>
              <w:spacing w:after="0" w:line="240" w:lineRule="auto"/>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Koşullu Harcamalar</w:t>
            </w:r>
          </w:p>
        </w:tc>
        <w:tc>
          <w:tcPr>
            <w:tcW w:w="10531" w:type="dxa"/>
            <w:gridSpan w:val="3"/>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13. Bütçede belirli şartların gerçekleşmesine bağlanan harcamalar, ancak bu şartlar gerçekleştiği takdirde       yapılabilir.</w:t>
            </w:r>
          </w:p>
        </w:tc>
      </w:tr>
    </w:tbl>
    <w:p w:rsidR="00A363F2" w:rsidRPr="00226E0B" w:rsidRDefault="00A363F2" w:rsidP="00A363F2">
      <w:pPr>
        <w:spacing w:after="0" w:line="240" w:lineRule="auto"/>
        <w:rPr>
          <w:rFonts w:ascii="Times New Roman" w:hAnsi="Times New Roman" w:cs="Times New Roman"/>
          <w:noProof/>
          <w:sz w:val="24"/>
          <w:szCs w:val="24"/>
          <w:lang w:eastAsia="en-US"/>
        </w:rPr>
      </w:pPr>
    </w:p>
    <w:p w:rsidR="00A363F2" w:rsidRPr="00226E0B" w:rsidRDefault="00A363F2" w:rsidP="00A363F2">
      <w:pPr>
        <w:spacing w:after="0" w:line="240" w:lineRule="auto"/>
        <w:rPr>
          <w:rFonts w:ascii="Times New Roman" w:hAnsi="Times New Roman" w:cs="Times New Roman"/>
          <w:noProof/>
          <w:sz w:val="24"/>
          <w:szCs w:val="24"/>
          <w:lang w:eastAsia="en-US"/>
        </w:rPr>
      </w:pPr>
    </w:p>
    <w:p w:rsidR="00A363F2" w:rsidRDefault="00A363F2" w:rsidP="00A363F2">
      <w:r>
        <w:br w:type="page"/>
      </w:r>
    </w:p>
    <w:tbl>
      <w:tblPr>
        <w:tblW w:w="13239" w:type="dxa"/>
        <w:tblLook w:val="0000" w:firstRow="0" w:lastRow="0" w:firstColumn="0" w:lastColumn="0" w:noHBand="0" w:noVBand="0"/>
      </w:tblPr>
      <w:tblGrid>
        <w:gridCol w:w="2618"/>
        <w:gridCol w:w="516"/>
        <w:gridCol w:w="583"/>
        <w:gridCol w:w="9522"/>
      </w:tblGrid>
      <w:tr w:rsidR="00A363F2" w:rsidRPr="00226E0B" w:rsidTr="0071669E">
        <w:tc>
          <w:tcPr>
            <w:tcW w:w="13239" w:type="dxa"/>
            <w:gridSpan w:val="4"/>
          </w:tcPr>
          <w:p w:rsidR="00A363F2" w:rsidRPr="00226E0B" w:rsidRDefault="00A363F2" w:rsidP="0071669E">
            <w:pPr>
              <w:spacing w:after="0" w:line="240" w:lineRule="auto"/>
              <w:jc w:val="center"/>
              <w:rPr>
                <w:rFonts w:ascii="Times New Roman" w:hAnsi="Times New Roman" w:cs="Times New Roman"/>
                <w:sz w:val="24"/>
                <w:szCs w:val="24"/>
                <w:lang w:eastAsia="en-US"/>
              </w:rPr>
            </w:pPr>
            <w:r w:rsidRPr="00226E0B">
              <w:rPr>
                <w:rFonts w:ascii="Times New Roman" w:hAnsi="Times New Roman" w:cs="Times New Roman"/>
                <w:sz w:val="24"/>
                <w:szCs w:val="24"/>
                <w:lang w:eastAsia="en-US"/>
              </w:rPr>
              <w:lastRenderedPageBreak/>
              <w:t>ÜÇÜNCÜ KISIM</w:t>
            </w:r>
          </w:p>
          <w:p w:rsidR="00A363F2" w:rsidRPr="00226E0B" w:rsidRDefault="00A363F2" w:rsidP="0071669E">
            <w:pPr>
              <w:spacing w:after="0" w:line="240" w:lineRule="auto"/>
              <w:jc w:val="center"/>
              <w:rPr>
                <w:rFonts w:ascii="Times New Roman" w:hAnsi="Times New Roman" w:cs="Times New Roman"/>
                <w:sz w:val="24"/>
                <w:szCs w:val="24"/>
                <w:lang w:eastAsia="en-US"/>
              </w:rPr>
            </w:pPr>
            <w:r w:rsidRPr="00226E0B">
              <w:rPr>
                <w:rFonts w:ascii="Times New Roman" w:hAnsi="Times New Roman" w:cs="Times New Roman"/>
                <w:sz w:val="24"/>
                <w:szCs w:val="24"/>
                <w:lang w:eastAsia="en-US"/>
              </w:rPr>
              <w:t>Personel Rejimi</w:t>
            </w:r>
          </w:p>
          <w:p w:rsidR="00A363F2" w:rsidRPr="00226E0B" w:rsidRDefault="00A363F2" w:rsidP="0071669E">
            <w:pPr>
              <w:spacing w:after="0" w:line="240" w:lineRule="auto"/>
              <w:jc w:val="center"/>
              <w:rPr>
                <w:rFonts w:ascii="Times New Roman" w:hAnsi="Times New Roman" w:cs="Times New Roman"/>
                <w:sz w:val="24"/>
                <w:szCs w:val="24"/>
                <w:lang w:eastAsia="en-US"/>
              </w:rPr>
            </w:pPr>
          </w:p>
        </w:tc>
      </w:tr>
      <w:tr w:rsidR="00A363F2" w:rsidRPr="00226E0B" w:rsidTr="0071669E">
        <w:tc>
          <w:tcPr>
            <w:tcW w:w="2618" w:type="dxa"/>
          </w:tcPr>
          <w:p w:rsidR="00A363F2" w:rsidRPr="00226E0B" w:rsidRDefault="00A363F2" w:rsidP="0071669E">
            <w:pPr>
              <w:spacing w:after="0" w:line="240" w:lineRule="auto"/>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İstihdam</w:t>
            </w:r>
          </w:p>
        </w:tc>
        <w:tc>
          <w:tcPr>
            <w:tcW w:w="516" w:type="dxa"/>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14.</w:t>
            </w:r>
          </w:p>
        </w:tc>
        <w:tc>
          <w:tcPr>
            <w:tcW w:w="583" w:type="dxa"/>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(1)</w:t>
            </w:r>
          </w:p>
        </w:tc>
        <w:tc>
          <w:tcPr>
            <w:tcW w:w="9522" w:type="dxa"/>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Personele uygulanacak maaşlar için, kamu görevlilerine uygulanan maaş baremleri esas alınır.</w:t>
            </w:r>
          </w:p>
        </w:tc>
      </w:tr>
      <w:tr w:rsidR="00A363F2" w:rsidRPr="00226E0B" w:rsidTr="0071669E">
        <w:tc>
          <w:tcPr>
            <w:tcW w:w="2618" w:type="dxa"/>
          </w:tcPr>
          <w:p w:rsidR="00A363F2" w:rsidRPr="00226E0B" w:rsidRDefault="00A363F2" w:rsidP="0071669E">
            <w:pPr>
              <w:spacing w:after="0" w:line="240" w:lineRule="auto"/>
              <w:rPr>
                <w:rFonts w:ascii="Times New Roman" w:hAnsi="Times New Roman" w:cs="Times New Roman"/>
                <w:noProof/>
                <w:sz w:val="24"/>
                <w:szCs w:val="24"/>
                <w:lang w:eastAsia="en-US"/>
              </w:rPr>
            </w:pPr>
          </w:p>
        </w:tc>
        <w:tc>
          <w:tcPr>
            <w:tcW w:w="516" w:type="dxa"/>
          </w:tcPr>
          <w:p w:rsidR="00A363F2" w:rsidRPr="00226E0B" w:rsidRDefault="00A363F2" w:rsidP="0071669E">
            <w:pPr>
              <w:spacing w:after="0" w:line="240" w:lineRule="auto"/>
              <w:jc w:val="both"/>
              <w:rPr>
                <w:rFonts w:ascii="Times New Roman" w:hAnsi="Times New Roman" w:cs="Times New Roman"/>
                <w:sz w:val="24"/>
                <w:szCs w:val="24"/>
                <w:lang w:eastAsia="en-US"/>
              </w:rPr>
            </w:pPr>
          </w:p>
        </w:tc>
        <w:tc>
          <w:tcPr>
            <w:tcW w:w="583" w:type="dxa"/>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(2)</w:t>
            </w:r>
          </w:p>
        </w:tc>
        <w:tc>
          <w:tcPr>
            <w:tcW w:w="9522" w:type="dxa"/>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Bütçede kadrosu ve ödeneği olmadan herhangi bir tayin, terfi ve barem ayarlaması yapılamaz.</w:t>
            </w:r>
          </w:p>
        </w:tc>
      </w:tr>
      <w:tr w:rsidR="00A363F2" w:rsidRPr="00226E0B" w:rsidTr="0071669E">
        <w:tc>
          <w:tcPr>
            <w:tcW w:w="2618" w:type="dxa"/>
          </w:tcPr>
          <w:p w:rsidR="00A363F2" w:rsidRPr="00226E0B" w:rsidRDefault="00A363F2" w:rsidP="0071669E">
            <w:pPr>
              <w:spacing w:after="0" w:line="240" w:lineRule="auto"/>
              <w:rPr>
                <w:rFonts w:ascii="Times New Roman" w:hAnsi="Times New Roman" w:cs="Times New Roman"/>
                <w:noProof/>
                <w:sz w:val="24"/>
                <w:szCs w:val="24"/>
                <w:lang w:eastAsia="en-US"/>
              </w:rPr>
            </w:pPr>
          </w:p>
        </w:tc>
        <w:tc>
          <w:tcPr>
            <w:tcW w:w="516" w:type="dxa"/>
          </w:tcPr>
          <w:p w:rsidR="00A363F2" w:rsidRPr="00226E0B" w:rsidRDefault="00A363F2" w:rsidP="0071669E">
            <w:pPr>
              <w:spacing w:after="0" w:line="240" w:lineRule="auto"/>
              <w:jc w:val="both"/>
              <w:rPr>
                <w:rFonts w:ascii="Times New Roman" w:hAnsi="Times New Roman" w:cs="Times New Roman"/>
                <w:sz w:val="24"/>
                <w:szCs w:val="24"/>
                <w:lang w:eastAsia="en-US"/>
              </w:rPr>
            </w:pPr>
          </w:p>
        </w:tc>
        <w:tc>
          <w:tcPr>
            <w:tcW w:w="583" w:type="dxa"/>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(3)</w:t>
            </w:r>
          </w:p>
        </w:tc>
        <w:tc>
          <w:tcPr>
            <w:tcW w:w="9522" w:type="dxa"/>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Sebebi ve gerekçesi ne olursa olsun, geriye dönük atama yapılamaz ve herhangi bir adla ödemede bulunulamaz.</w:t>
            </w:r>
          </w:p>
        </w:tc>
      </w:tr>
      <w:tr w:rsidR="00A363F2" w:rsidRPr="00226E0B" w:rsidTr="0071669E">
        <w:tc>
          <w:tcPr>
            <w:tcW w:w="2618" w:type="dxa"/>
          </w:tcPr>
          <w:p w:rsidR="00A363F2" w:rsidRPr="00226E0B" w:rsidRDefault="00A363F2" w:rsidP="0071669E">
            <w:pPr>
              <w:spacing w:after="0" w:line="240" w:lineRule="auto"/>
              <w:rPr>
                <w:rFonts w:ascii="Times New Roman" w:hAnsi="Times New Roman" w:cs="Times New Roman"/>
                <w:noProof/>
                <w:sz w:val="24"/>
                <w:szCs w:val="24"/>
                <w:lang w:eastAsia="en-US"/>
              </w:rPr>
            </w:pPr>
          </w:p>
        </w:tc>
        <w:tc>
          <w:tcPr>
            <w:tcW w:w="516" w:type="dxa"/>
          </w:tcPr>
          <w:p w:rsidR="00A363F2" w:rsidRPr="00226E0B" w:rsidRDefault="00A363F2" w:rsidP="0071669E">
            <w:pPr>
              <w:spacing w:after="0" w:line="240" w:lineRule="auto"/>
              <w:jc w:val="both"/>
              <w:rPr>
                <w:rFonts w:ascii="Times New Roman" w:hAnsi="Times New Roman" w:cs="Times New Roman"/>
                <w:sz w:val="24"/>
                <w:szCs w:val="24"/>
                <w:lang w:eastAsia="en-US"/>
              </w:rPr>
            </w:pPr>
          </w:p>
        </w:tc>
        <w:tc>
          <w:tcPr>
            <w:tcW w:w="583" w:type="dxa"/>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(4)</w:t>
            </w:r>
          </w:p>
        </w:tc>
        <w:tc>
          <w:tcPr>
            <w:tcW w:w="9522" w:type="dxa"/>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 xml:space="preserve">Bütçede öngörülen veya yıl içerisinde herhangi bir sebeple münhal düşen kadroların da karşılarında “Münhal” sözcüğü yazılı olup olmadığına ve hangi statüde alınacağına bakılmaksızın, mali olanaklar elverdiği ölçüde Kurumda bir yıl içinde yeni istihdam edilecek toplam personel sayısı, 2020 Mali Yılı içerisinde emekli olanların sayısını aşmayacak şekilde doldurulabilir. Her ne ad altında olursa olsun personel istihdamı öncesinde Maliye İşleriyle Görevli Bakanlıktan yetki talebinde bulunulması gerekmektedir. </w:t>
            </w:r>
          </w:p>
        </w:tc>
      </w:tr>
      <w:tr w:rsidR="00A363F2" w:rsidRPr="00226E0B" w:rsidTr="0071669E">
        <w:tc>
          <w:tcPr>
            <w:tcW w:w="2618" w:type="dxa"/>
          </w:tcPr>
          <w:p w:rsidR="00A363F2" w:rsidRPr="00226E0B" w:rsidRDefault="00A363F2" w:rsidP="0071669E">
            <w:pPr>
              <w:spacing w:after="0" w:line="240" w:lineRule="auto"/>
              <w:rPr>
                <w:rFonts w:ascii="Times New Roman" w:hAnsi="Times New Roman" w:cs="Times New Roman"/>
                <w:noProof/>
                <w:sz w:val="24"/>
                <w:szCs w:val="24"/>
                <w:lang w:eastAsia="en-US"/>
              </w:rPr>
            </w:pPr>
          </w:p>
        </w:tc>
        <w:tc>
          <w:tcPr>
            <w:tcW w:w="516" w:type="dxa"/>
          </w:tcPr>
          <w:p w:rsidR="00A363F2" w:rsidRPr="00226E0B" w:rsidRDefault="00A363F2" w:rsidP="0071669E">
            <w:pPr>
              <w:spacing w:after="0" w:line="240" w:lineRule="auto"/>
              <w:jc w:val="both"/>
              <w:rPr>
                <w:rFonts w:ascii="Times New Roman" w:hAnsi="Times New Roman" w:cs="Times New Roman"/>
                <w:sz w:val="24"/>
                <w:szCs w:val="24"/>
                <w:lang w:eastAsia="en-US"/>
              </w:rPr>
            </w:pPr>
          </w:p>
        </w:tc>
        <w:tc>
          <w:tcPr>
            <w:tcW w:w="583" w:type="dxa"/>
          </w:tcPr>
          <w:p w:rsidR="00A363F2" w:rsidRPr="00226E0B" w:rsidRDefault="00A363F2" w:rsidP="0071669E">
            <w:pPr>
              <w:spacing w:after="0" w:line="240" w:lineRule="auto"/>
              <w:jc w:val="both"/>
              <w:rPr>
                <w:rFonts w:ascii="Times New Roman" w:hAnsi="Times New Roman" w:cs="Times New Roman"/>
                <w:sz w:val="24"/>
                <w:szCs w:val="24"/>
                <w:lang w:eastAsia="en-US"/>
              </w:rPr>
            </w:pPr>
          </w:p>
        </w:tc>
        <w:tc>
          <w:tcPr>
            <w:tcW w:w="9522" w:type="dxa"/>
          </w:tcPr>
          <w:p w:rsidR="00A363F2" w:rsidRPr="00226E0B" w:rsidRDefault="00A363F2" w:rsidP="0071669E">
            <w:pPr>
              <w:spacing w:after="0" w:line="240" w:lineRule="auto"/>
              <w:jc w:val="both"/>
              <w:rPr>
                <w:rFonts w:ascii="Times New Roman" w:hAnsi="Times New Roman" w:cs="Times New Roman"/>
                <w:sz w:val="24"/>
                <w:szCs w:val="24"/>
                <w:lang w:eastAsia="en-US"/>
              </w:rPr>
            </w:pPr>
          </w:p>
        </w:tc>
      </w:tr>
      <w:tr w:rsidR="00A363F2" w:rsidRPr="00226E0B" w:rsidTr="0071669E">
        <w:tc>
          <w:tcPr>
            <w:tcW w:w="2618" w:type="dxa"/>
          </w:tcPr>
          <w:p w:rsidR="00A363F2" w:rsidRPr="00226E0B" w:rsidRDefault="00A363F2" w:rsidP="0071669E">
            <w:pPr>
              <w:spacing w:after="0" w:line="240" w:lineRule="auto"/>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Personel İzinleri</w:t>
            </w:r>
          </w:p>
        </w:tc>
        <w:tc>
          <w:tcPr>
            <w:tcW w:w="10621" w:type="dxa"/>
            <w:gridSpan w:val="3"/>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 xml:space="preserve">15. Personelin ödenekli veya ödeneksiz izinleri, Bütçeye mali külfet yüklemeyecek şekilde programlanır ve uygulanır. </w:t>
            </w:r>
          </w:p>
        </w:tc>
      </w:tr>
      <w:tr w:rsidR="00A363F2" w:rsidRPr="00226E0B" w:rsidTr="0071669E">
        <w:tc>
          <w:tcPr>
            <w:tcW w:w="2618" w:type="dxa"/>
          </w:tcPr>
          <w:p w:rsidR="00A363F2" w:rsidRPr="00226E0B" w:rsidRDefault="00A363F2" w:rsidP="0071669E">
            <w:pPr>
              <w:spacing w:after="0" w:line="240" w:lineRule="auto"/>
              <w:rPr>
                <w:rFonts w:ascii="Times New Roman" w:hAnsi="Times New Roman" w:cs="Times New Roman"/>
                <w:noProof/>
                <w:sz w:val="24"/>
                <w:szCs w:val="24"/>
                <w:lang w:eastAsia="en-US"/>
              </w:rPr>
            </w:pPr>
          </w:p>
        </w:tc>
        <w:tc>
          <w:tcPr>
            <w:tcW w:w="10621" w:type="dxa"/>
            <w:gridSpan w:val="3"/>
          </w:tcPr>
          <w:p w:rsidR="00A363F2" w:rsidRPr="00226E0B" w:rsidRDefault="00A363F2" w:rsidP="0071669E">
            <w:pPr>
              <w:spacing w:after="0" w:line="240" w:lineRule="auto"/>
              <w:jc w:val="both"/>
              <w:rPr>
                <w:rFonts w:ascii="Times New Roman" w:hAnsi="Times New Roman" w:cs="Times New Roman"/>
                <w:sz w:val="24"/>
                <w:szCs w:val="24"/>
                <w:lang w:eastAsia="en-US"/>
              </w:rPr>
            </w:pPr>
          </w:p>
        </w:tc>
      </w:tr>
      <w:tr w:rsidR="00A363F2" w:rsidRPr="00226E0B" w:rsidTr="0071669E">
        <w:tc>
          <w:tcPr>
            <w:tcW w:w="13239" w:type="dxa"/>
            <w:gridSpan w:val="4"/>
          </w:tcPr>
          <w:p w:rsidR="00A363F2" w:rsidRPr="00226E0B" w:rsidRDefault="00A363F2" w:rsidP="0071669E">
            <w:pPr>
              <w:spacing w:after="0" w:line="240" w:lineRule="auto"/>
              <w:jc w:val="center"/>
              <w:rPr>
                <w:rFonts w:ascii="Times New Roman" w:hAnsi="Times New Roman" w:cs="Times New Roman"/>
                <w:sz w:val="24"/>
                <w:szCs w:val="24"/>
                <w:lang w:eastAsia="en-US"/>
              </w:rPr>
            </w:pPr>
            <w:r w:rsidRPr="00226E0B">
              <w:rPr>
                <w:rFonts w:eastAsia="Calibri" w:cs="Times New Roman"/>
                <w:lang w:eastAsia="en-US"/>
              </w:rPr>
              <w:br w:type="page"/>
            </w:r>
            <w:r w:rsidRPr="00226E0B">
              <w:rPr>
                <w:rFonts w:ascii="Times New Roman" w:hAnsi="Times New Roman" w:cs="Times New Roman"/>
                <w:sz w:val="24"/>
                <w:szCs w:val="24"/>
                <w:lang w:eastAsia="en-US"/>
              </w:rPr>
              <w:t>DÖRDÜNCÜ KISIM</w:t>
            </w:r>
          </w:p>
          <w:p w:rsidR="00A363F2" w:rsidRPr="00226E0B" w:rsidRDefault="00A363F2" w:rsidP="0071669E">
            <w:pPr>
              <w:spacing w:after="0" w:line="240" w:lineRule="auto"/>
              <w:jc w:val="center"/>
              <w:rPr>
                <w:rFonts w:ascii="Times New Roman" w:hAnsi="Times New Roman" w:cs="Times New Roman"/>
                <w:sz w:val="24"/>
                <w:szCs w:val="24"/>
                <w:lang w:eastAsia="en-US"/>
              </w:rPr>
            </w:pPr>
            <w:r w:rsidRPr="00226E0B">
              <w:rPr>
                <w:rFonts w:ascii="Times New Roman" w:hAnsi="Times New Roman" w:cs="Times New Roman"/>
                <w:sz w:val="24"/>
                <w:szCs w:val="24"/>
                <w:lang w:eastAsia="en-US"/>
              </w:rPr>
              <w:t>Denetim</w:t>
            </w:r>
          </w:p>
          <w:p w:rsidR="00A363F2" w:rsidRPr="00226E0B" w:rsidRDefault="00A363F2" w:rsidP="0071669E">
            <w:pPr>
              <w:spacing w:after="0" w:line="240" w:lineRule="auto"/>
              <w:jc w:val="center"/>
              <w:rPr>
                <w:rFonts w:ascii="Times New Roman" w:hAnsi="Times New Roman" w:cs="Times New Roman"/>
                <w:sz w:val="24"/>
                <w:szCs w:val="24"/>
                <w:lang w:eastAsia="en-US"/>
              </w:rPr>
            </w:pPr>
          </w:p>
        </w:tc>
      </w:tr>
      <w:tr w:rsidR="00A363F2" w:rsidRPr="00226E0B" w:rsidTr="0071669E">
        <w:tc>
          <w:tcPr>
            <w:tcW w:w="13239" w:type="dxa"/>
            <w:gridSpan w:val="4"/>
          </w:tcPr>
          <w:p w:rsidR="00A363F2" w:rsidRPr="00226E0B" w:rsidRDefault="00A363F2" w:rsidP="0071669E">
            <w:pPr>
              <w:spacing w:after="0" w:line="240" w:lineRule="auto"/>
              <w:jc w:val="center"/>
              <w:rPr>
                <w:rFonts w:ascii="Times New Roman" w:hAnsi="Times New Roman" w:cs="Times New Roman"/>
                <w:sz w:val="24"/>
                <w:szCs w:val="24"/>
                <w:lang w:eastAsia="en-US"/>
              </w:rPr>
            </w:pPr>
          </w:p>
        </w:tc>
      </w:tr>
      <w:tr w:rsidR="00A363F2" w:rsidRPr="00226E0B" w:rsidTr="0071669E">
        <w:tc>
          <w:tcPr>
            <w:tcW w:w="2618" w:type="dxa"/>
          </w:tcPr>
          <w:p w:rsidR="00A363F2" w:rsidRPr="00226E0B" w:rsidRDefault="00A363F2" w:rsidP="0071669E">
            <w:pPr>
              <w:spacing w:after="0" w:line="240" w:lineRule="auto"/>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Denetim Yöntemleri</w:t>
            </w:r>
          </w:p>
        </w:tc>
        <w:tc>
          <w:tcPr>
            <w:tcW w:w="10621" w:type="dxa"/>
            <w:gridSpan w:val="3"/>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 xml:space="preserve">16. Toprak Ürünleri Kurumunun denetimini Sayıştay yapar ve mali yıl sonunda Bakanlar Kuruluna Rapor  verir. </w:t>
            </w:r>
          </w:p>
        </w:tc>
      </w:tr>
      <w:tr w:rsidR="00A363F2" w:rsidRPr="00226E0B" w:rsidTr="0071669E">
        <w:tc>
          <w:tcPr>
            <w:tcW w:w="2618" w:type="dxa"/>
          </w:tcPr>
          <w:p w:rsidR="00A363F2" w:rsidRPr="00226E0B" w:rsidRDefault="00A363F2" w:rsidP="0071669E">
            <w:pPr>
              <w:spacing w:after="0" w:line="240" w:lineRule="auto"/>
              <w:rPr>
                <w:rFonts w:ascii="Times New Roman" w:hAnsi="Times New Roman" w:cs="Times New Roman"/>
                <w:noProof/>
                <w:sz w:val="24"/>
                <w:szCs w:val="24"/>
                <w:lang w:eastAsia="en-US"/>
              </w:rPr>
            </w:pPr>
          </w:p>
        </w:tc>
        <w:tc>
          <w:tcPr>
            <w:tcW w:w="10621" w:type="dxa"/>
            <w:gridSpan w:val="3"/>
          </w:tcPr>
          <w:p w:rsidR="00A363F2" w:rsidRPr="00226E0B" w:rsidRDefault="00A363F2" w:rsidP="0071669E">
            <w:pPr>
              <w:spacing w:after="0" w:line="240" w:lineRule="auto"/>
              <w:jc w:val="both"/>
              <w:rPr>
                <w:rFonts w:ascii="Times New Roman" w:hAnsi="Times New Roman" w:cs="Times New Roman"/>
                <w:sz w:val="24"/>
                <w:szCs w:val="24"/>
                <w:lang w:eastAsia="en-US"/>
              </w:rPr>
            </w:pPr>
          </w:p>
        </w:tc>
      </w:tr>
      <w:tr w:rsidR="00A363F2" w:rsidRPr="00226E0B" w:rsidTr="0071669E">
        <w:tc>
          <w:tcPr>
            <w:tcW w:w="2618" w:type="dxa"/>
          </w:tcPr>
          <w:p w:rsidR="00A363F2" w:rsidRPr="00226E0B" w:rsidRDefault="00A363F2" w:rsidP="0071669E">
            <w:pPr>
              <w:spacing w:after="0" w:line="240" w:lineRule="auto"/>
              <w:rPr>
                <w:rFonts w:ascii="Times New Roman" w:hAnsi="Times New Roman" w:cs="Times New Roman"/>
                <w:noProof/>
                <w:sz w:val="24"/>
                <w:szCs w:val="24"/>
                <w:lang w:eastAsia="en-US"/>
              </w:rPr>
            </w:pPr>
            <w:r w:rsidRPr="00226E0B">
              <w:rPr>
                <w:rFonts w:eastAsia="Calibri" w:cs="Times New Roman"/>
                <w:lang w:eastAsia="en-US"/>
              </w:rPr>
              <w:br w:type="page"/>
            </w:r>
            <w:r w:rsidRPr="00226E0B">
              <w:rPr>
                <w:rFonts w:ascii="Times New Roman" w:hAnsi="Times New Roman" w:cs="Times New Roman"/>
                <w:noProof/>
                <w:sz w:val="24"/>
                <w:szCs w:val="24"/>
                <w:lang w:eastAsia="en-US"/>
              </w:rPr>
              <w:t>Kesin Hesap Yasa Tasarıları ve Raporları</w:t>
            </w:r>
          </w:p>
        </w:tc>
        <w:tc>
          <w:tcPr>
            <w:tcW w:w="516" w:type="dxa"/>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17.</w:t>
            </w:r>
          </w:p>
        </w:tc>
        <w:tc>
          <w:tcPr>
            <w:tcW w:w="583" w:type="dxa"/>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(1)</w:t>
            </w:r>
          </w:p>
        </w:tc>
        <w:tc>
          <w:tcPr>
            <w:tcW w:w="9522" w:type="dxa"/>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Uygulama ve Denetim sonuçları Devlet Planlama Örgütünün düzenleyeceği Raporlarda gösterilir. Bütçe Kesin Hesap Cetvel ve Raporları, mali yılın sona ermesinden başlayarak en geç üç ay içerisinde Bakanlar Kuruluna sunulur.</w:t>
            </w:r>
          </w:p>
        </w:tc>
      </w:tr>
      <w:tr w:rsidR="00A363F2" w:rsidRPr="00226E0B" w:rsidTr="0071669E">
        <w:tc>
          <w:tcPr>
            <w:tcW w:w="2618" w:type="dxa"/>
          </w:tcPr>
          <w:p w:rsidR="00A363F2" w:rsidRPr="00226E0B" w:rsidRDefault="00A363F2" w:rsidP="0071669E">
            <w:pPr>
              <w:spacing w:after="0" w:line="240" w:lineRule="auto"/>
              <w:rPr>
                <w:rFonts w:ascii="Times New Roman" w:hAnsi="Times New Roman" w:cs="Times New Roman"/>
                <w:noProof/>
                <w:sz w:val="24"/>
                <w:szCs w:val="24"/>
                <w:lang w:eastAsia="en-US"/>
              </w:rPr>
            </w:pPr>
          </w:p>
        </w:tc>
        <w:tc>
          <w:tcPr>
            <w:tcW w:w="516" w:type="dxa"/>
          </w:tcPr>
          <w:p w:rsidR="00A363F2" w:rsidRPr="00226E0B" w:rsidRDefault="00A363F2" w:rsidP="0071669E">
            <w:pPr>
              <w:spacing w:after="0" w:line="240" w:lineRule="auto"/>
              <w:jc w:val="both"/>
              <w:rPr>
                <w:rFonts w:ascii="Times New Roman" w:hAnsi="Times New Roman" w:cs="Times New Roman"/>
                <w:sz w:val="24"/>
                <w:szCs w:val="24"/>
                <w:lang w:eastAsia="en-US"/>
              </w:rPr>
            </w:pPr>
          </w:p>
        </w:tc>
        <w:tc>
          <w:tcPr>
            <w:tcW w:w="583" w:type="dxa"/>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(2)</w:t>
            </w:r>
          </w:p>
        </w:tc>
        <w:tc>
          <w:tcPr>
            <w:tcW w:w="9522" w:type="dxa"/>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 xml:space="preserve">Kesin Hesap Yasa Tasarıları ve Ek’li Hesap Cetvelleri, ilgili oldukları mali yılın sonundan başlayarak en geç bir yıl içinde Bakanlar Kurulunca Cumhuriyet Meclisine sunulur. Sayıştay Başkanlığı, genel uygunluk bildirimini, ilişkin olduğu Kesin Hesap Yasa Tasarısının verilmesinden başlayarak en geç altı ay içinde Cumhuriyet Meclisine sunar. </w:t>
            </w:r>
          </w:p>
        </w:tc>
      </w:tr>
      <w:tr w:rsidR="00A363F2" w:rsidRPr="00226E0B" w:rsidTr="0071669E">
        <w:tc>
          <w:tcPr>
            <w:tcW w:w="2618" w:type="dxa"/>
          </w:tcPr>
          <w:p w:rsidR="00A363F2" w:rsidRPr="00226E0B" w:rsidRDefault="00A363F2" w:rsidP="0071669E">
            <w:pPr>
              <w:spacing w:after="0" w:line="240" w:lineRule="auto"/>
              <w:rPr>
                <w:rFonts w:ascii="Times New Roman" w:hAnsi="Times New Roman" w:cs="Times New Roman"/>
                <w:noProof/>
                <w:sz w:val="24"/>
                <w:szCs w:val="24"/>
                <w:lang w:eastAsia="en-US"/>
              </w:rPr>
            </w:pPr>
          </w:p>
        </w:tc>
        <w:tc>
          <w:tcPr>
            <w:tcW w:w="516" w:type="dxa"/>
          </w:tcPr>
          <w:p w:rsidR="00A363F2" w:rsidRPr="00226E0B" w:rsidRDefault="00A363F2" w:rsidP="0071669E">
            <w:pPr>
              <w:spacing w:after="0" w:line="240" w:lineRule="auto"/>
              <w:jc w:val="both"/>
              <w:rPr>
                <w:rFonts w:ascii="Times New Roman" w:hAnsi="Times New Roman" w:cs="Times New Roman"/>
                <w:sz w:val="24"/>
                <w:szCs w:val="24"/>
                <w:lang w:eastAsia="en-US"/>
              </w:rPr>
            </w:pPr>
          </w:p>
        </w:tc>
        <w:tc>
          <w:tcPr>
            <w:tcW w:w="583" w:type="dxa"/>
          </w:tcPr>
          <w:p w:rsidR="00A363F2" w:rsidRPr="00226E0B" w:rsidRDefault="00A363F2" w:rsidP="0071669E">
            <w:pPr>
              <w:spacing w:after="0" w:line="240" w:lineRule="auto"/>
              <w:jc w:val="both"/>
              <w:rPr>
                <w:rFonts w:ascii="Times New Roman" w:hAnsi="Times New Roman" w:cs="Times New Roman"/>
                <w:sz w:val="24"/>
                <w:szCs w:val="24"/>
                <w:lang w:eastAsia="en-US"/>
              </w:rPr>
            </w:pPr>
          </w:p>
        </w:tc>
        <w:tc>
          <w:tcPr>
            <w:tcW w:w="9522" w:type="dxa"/>
          </w:tcPr>
          <w:p w:rsidR="00A363F2" w:rsidRPr="00226E0B" w:rsidRDefault="00A363F2" w:rsidP="0071669E">
            <w:pPr>
              <w:spacing w:after="0" w:line="240" w:lineRule="auto"/>
              <w:jc w:val="both"/>
              <w:rPr>
                <w:rFonts w:ascii="Times New Roman" w:hAnsi="Times New Roman" w:cs="Times New Roman"/>
                <w:sz w:val="24"/>
                <w:szCs w:val="24"/>
                <w:lang w:eastAsia="en-US"/>
              </w:rPr>
            </w:pPr>
          </w:p>
        </w:tc>
      </w:tr>
      <w:tr w:rsidR="00A363F2" w:rsidRPr="00226E0B" w:rsidTr="0071669E">
        <w:tc>
          <w:tcPr>
            <w:tcW w:w="2618" w:type="dxa"/>
          </w:tcPr>
          <w:p w:rsidR="00A363F2" w:rsidRPr="00226E0B" w:rsidRDefault="00A363F2" w:rsidP="0071669E">
            <w:pPr>
              <w:spacing w:after="0" w:line="240" w:lineRule="auto"/>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 xml:space="preserve">Usulsüzlüklerde </w:t>
            </w:r>
          </w:p>
          <w:p w:rsidR="00A363F2" w:rsidRPr="00226E0B" w:rsidRDefault="00A363F2" w:rsidP="0071669E">
            <w:pPr>
              <w:spacing w:after="0" w:line="240" w:lineRule="auto"/>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Yapılacak İşlem</w:t>
            </w:r>
          </w:p>
          <w:p w:rsidR="00A363F2" w:rsidRPr="00226E0B" w:rsidRDefault="00A363F2" w:rsidP="0071669E">
            <w:pPr>
              <w:spacing w:after="0" w:line="240" w:lineRule="auto"/>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lastRenderedPageBreak/>
              <w:t>17/1999</w:t>
            </w:r>
          </w:p>
        </w:tc>
        <w:tc>
          <w:tcPr>
            <w:tcW w:w="10621" w:type="dxa"/>
            <w:gridSpan w:val="3"/>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lastRenderedPageBreak/>
              <w:t xml:space="preserve">18. İç ve dış denetim sırasında usulsüz ödeme, ödenek aşılması, avansların zamanında kapatılmaması, ihtiyaç dışında fuzuli harcamalar gibi bu Yasaya, Genel Muhasebe Yasası ve tüzüklerine aykırı bir duruma </w:t>
            </w:r>
            <w:r w:rsidRPr="00226E0B">
              <w:rPr>
                <w:rFonts w:ascii="Times New Roman" w:hAnsi="Times New Roman" w:cs="Times New Roman"/>
                <w:sz w:val="24"/>
                <w:szCs w:val="24"/>
                <w:lang w:eastAsia="en-US"/>
              </w:rPr>
              <w:lastRenderedPageBreak/>
              <w:t>rastlandığı takdirde, bu hatalı işlemler hakkında gerekli soruşturma açılır. Soruşturma sonucu saptanacak suçlar için yasal işlem yapılır ve usulsüz, fuzuli ödemeler ile ödenek aşımları sorumlularından tahsil edilir.</w:t>
            </w:r>
          </w:p>
        </w:tc>
      </w:tr>
      <w:tr w:rsidR="00A363F2" w:rsidRPr="00226E0B" w:rsidTr="0071669E">
        <w:tc>
          <w:tcPr>
            <w:tcW w:w="2618" w:type="dxa"/>
          </w:tcPr>
          <w:p w:rsidR="00A363F2" w:rsidRPr="00226E0B" w:rsidRDefault="00A363F2" w:rsidP="0071669E">
            <w:pPr>
              <w:spacing w:after="0" w:line="240" w:lineRule="auto"/>
              <w:rPr>
                <w:rFonts w:ascii="Times New Roman" w:hAnsi="Times New Roman" w:cs="Times New Roman"/>
                <w:noProof/>
                <w:sz w:val="24"/>
                <w:szCs w:val="24"/>
                <w:lang w:eastAsia="en-US"/>
              </w:rPr>
            </w:pPr>
          </w:p>
        </w:tc>
        <w:tc>
          <w:tcPr>
            <w:tcW w:w="10621" w:type="dxa"/>
            <w:gridSpan w:val="3"/>
          </w:tcPr>
          <w:p w:rsidR="00A363F2" w:rsidRPr="00226E0B" w:rsidRDefault="00A363F2" w:rsidP="0071669E">
            <w:pPr>
              <w:spacing w:after="0" w:line="240" w:lineRule="auto"/>
              <w:jc w:val="both"/>
              <w:rPr>
                <w:rFonts w:ascii="Times New Roman" w:hAnsi="Times New Roman" w:cs="Times New Roman"/>
                <w:sz w:val="24"/>
                <w:szCs w:val="24"/>
                <w:lang w:eastAsia="en-US"/>
              </w:rPr>
            </w:pPr>
          </w:p>
        </w:tc>
      </w:tr>
      <w:tr w:rsidR="00A363F2" w:rsidRPr="00226E0B" w:rsidTr="0071669E">
        <w:tc>
          <w:tcPr>
            <w:tcW w:w="13239" w:type="dxa"/>
            <w:gridSpan w:val="4"/>
          </w:tcPr>
          <w:p w:rsidR="00A363F2" w:rsidRPr="00226E0B" w:rsidRDefault="00A363F2" w:rsidP="0071669E">
            <w:pPr>
              <w:spacing w:after="0" w:line="240" w:lineRule="auto"/>
              <w:jc w:val="center"/>
              <w:rPr>
                <w:rFonts w:ascii="Times New Roman" w:hAnsi="Times New Roman" w:cs="Times New Roman"/>
                <w:sz w:val="24"/>
                <w:szCs w:val="24"/>
                <w:lang w:eastAsia="en-US"/>
              </w:rPr>
            </w:pPr>
            <w:r w:rsidRPr="00226E0B">
              <w:rPr>
                <w:rFonts w:ascii="Times New Roman" w:hAnsi="Times New Roman" w:cs="Times New Roman"/>
                <w:sz w:val="24"/>
                <w:szCs w:val="24"/>
                <w:lang w:eastAsia="en-US"/>
              </w:rPr>
              <w:t>BEŞİNCİ KISIM</w:t>
            </w:r>
          </w:p>
          <w:p w:rsidR="00A363F2" w:rsidRPr="00226E0B" w:rsidRDefault="00A363F2" w:rsidP="0071669E">
            <w:pPr>
              <w:spacing w:after="0" w:line="240" w:lineRule="auto"/>
              <w:jc w:val="center"/>
              <w:rPr>
                <w:rFonts w:ascii="Times New Roman" w:hAnsi="Times New Roman" w:cs="Times New Roman"/>
                <w:sz w:val="24"/>
                <w:szCs w:val="24"/>
                <w:lang w:eastAsia="en-US"/>
              </w:rPr>
            </w:pPr>
            <w:r w:rsidRPr="00226E0B">
              <w:rPr>
                <w:rFonts w:ascii="Times New Roman" w:hAnsi="Times New Roman" w:cs="Times New Roman"/>
                <w:sz w:val="24"/>
                <w:szCs w:val="24"/>
                <w:lang w:eastAsia="en-US"/>
              </w:rPr>
              <w:t>Son Kurallar</w:t>
            </w:r>
          </w:p>
          <w:p w:rsidR="00A363F2" w:rsidRPr="00226E0B" w:rsidRDefault="00A363F2" w:rsidP="0071669E">
            <w:pPr>
              <w:spacing w:after="0" w:line="240" w:lineRule="auto"/>
              <w:jc w:val="center"/>
              <w:rPr>
                <w:rFonts w:ascii="Times New Roman" w:hAnsi="Times New Roman" w:cs="Times New Roman"/>
                <w:sz w:val="24"/>
                <w:szCs w:val="24"/>
                <w:lang w:eastAsia="en-US"/>
              </w:rPr>
            </w:pPr>
          </w:p>
        </w:tc>
      </w:tr>
      <w:tr w:rsidR="00A363F2" w:rsidRPr="00226E0B" w:rsidTr="0071669E">
        <w:tc>
          <w:tcPr>
            <w:tcW w:w="2618" w:type="dxa"/>
          </w:tcPr>
          <w:p w:rsidR="00A363F2" w:rsidRPr="00226E0B" w:rsidRDefault="00A363F2" w:rsidP="0071669E">
            <w:pPr>
              <w:spacing w:after="0" w:line="240" w:lineRule="auto"/>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 xml:space="preserve">Resmi Hizmet </w:t>
            </w:r>
          </w:p>
          <w:p w:rsidR="00A363F2" w:rsidRPr="00226E0B" w:rsidRDefault="00A363F2" w:rsidP="0071669E">
            <w:pPr>
              <w:spacing w:after="0" w:line="240" w:lineRule="auto"/>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 xml:space="preserve">Araçlarının </w:t>
            </w:r>
          </w:p>
          <w:p w:rsidR="00A363F2" w:rsidRPr="00226E0B" w:rsidRDefault="00A363F2" w:rsidP="0071669E">
            <w:pPr>
              <w:spacing w:after="0" w:line="240" w:lineRule="auto"/>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Kullanımında İlke</w:t>
            </w:r>
          </w:p>
        </w:tc>
        <w:tc>
          <w:tcPr>
            <w:tcW w:w="516" w:type="dxa"/>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19.</w:t>
            </w:r>
          </w:p>
        </w:tc>
        <w:tc>
          <w:tcPr>
            <w:tcW w:w="583" w:type="dxa"/>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(1)</w:t>
            </w:r>
          </w:p>
        </w:tc>
        <w:tc>
          <w:tcPr>
            <w:tcW w:w="9522" w:type="dxa"/>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Kurumun hizmet araçları yalnız hizmetin gerektirdiği alanlarda ve mesai saatleri içerisinde kullanılabilir. Mesai saatleri dışında kullanım zorunluluğu olduğu hallerde, Toprak Ürünleri Kurumu Müdürünün onayı gerekir.</w:t>
            </w:r>
          </w:p>
        </w:tc>
      </w:tr>
      <w:tr w:rsidR="00A363F2" w:rsidRPr="00226E0B" w:rsidTr="0071669E">
        <w:tc>
          <w:tcPr>
            <w:tcW w:w="2618" w:type="dxa"/>
          </w:tcPr>
          <w:p w:rsidR="00A363F2" w:rsidRPr="00226E0B" w:rsidRDefault="00A363F2" w:rsidP="0071669E">
            <w:pPr>
              <w:spacing w:after="0" w:line="240" w:lineRule="auto"/>
              <w:rPr>
                <w:rFonts w:ascii="Times New Roman" w:hAnsi="Times New Roman" w:cs="Times New Roman"/>
                <w:noProof/>
                <w:sz w:val="24"/>
                <w:szCs w:val="24"/>
                <w:lang w:eastAsia="en-US"/>
              </w:rPr>
            </w:pPr>
          </w:p>
        </w:tc>
        <w:tc>
          <w:tcPr>
            <w:tcW w:w="516" w:type="dxa"/>
          </w:tcPr>
          <w:p w:rsidR="00A363F2" w:rsidRPr="00226E0B" w:rsidRDefault="00A363F2" w:rsidP="0071669E">
            <w:pPr>
              <w:spacing w:after="0" w:line="240" w:lineRule="auto"/>
              <w:jc w:val="both"/>
              <w:rPr>
                <w:rFonts w:ascii="Times New Roman" w:hAnsi="Times New Roman" w:cs="Times New Roman"/>
                <w:sz w:val="24"/>
                <w:szCs w:val="24"/>
                <w:lang w:eastAsia="en-US"/>
              </w:rPr>
            </w:pPr>
          </w:p>
        </w:tc>
        <w:tc>
          <w:tcPr>
            <w:tcW w:w="583" w:type="dxa"/>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(2)</w:t>
            </w:r>
          </w:p>
        </w:tc>
        <w:tc>
          <w:tcPr>
            <w:tcW w:w="9522" w:type="dxa"/>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Hizmet araçları, hiçbir şekilde özel amaçlar için kullanılamaz.</w:t>
            </w:r>
          </w:p>
        </w:tc>
      </w:tr>
      <w:tr w:rsidR="00A363F2" w:rsidRPr="00226E0B" w:rsidTr="0071669E">
        <w:tc>
          <w:tcPr>
            <w:tcW w:w="2618" w:type="dxa"/>
          </w:tcPr>
          <w:p w:rsidR="00A363F2" w:rsidRPr="00226E0B" w:rsidRDefault="00A363F2" w:rsidP="0071669E">
            <w:pPr>
              <w:spacing w:after="0" w:line="240" w:lineRule="auto"/>
              <w:rPr>
                <w:rFonts w:ascii="Times New Roman" w:hAnsi="Times New Roman" w:cs="Times New Roman"/>
                <w:noProof/>
                <w:sz w:val="24"/>
                <w:szCs w:val="24"/>
                <w:lang w:eastAsia="en-US"/>
              </w:rPr>
            </w:pPr>
          </w:p>
        </w:tc>
        <w:tc>
          <w:tcPr>
            <w:tcW w:w="516" w:type="dxa"/>
          </w:tcPr>
          <w:p w:rsidR="00A363F2" w:rsidRPr="00226E0B" w:rsidRDefault="00A363F2" w:rsidP="0071669E">
            <w:pPr>
              <w:spacing w:after="0" w:line="240" w:lineRule="auto"/>
              <w:jc w:val="both"/>
              <w:rPr>
                <w:rFonts w:ascii="Times New Roman" w:hAnsi="Times New Roman" w:cs="Times New Roman"/>
                <w:sz w:val="24"/>
                <w:szCs w:val="24"/>
                <w:lang w:eastAsia="en-US"/>
              </w:rPr>
            </w:pPr>
          </w:p>
        </w:tc>
        <w:tc>
          <w:tcPr>
            <w:tcW w:w="583" w:type="dxa"/>
          </w:tcPr>
          <w:p w:rsidR="00A363F2" w:rsidRPr="00226E0B" w:rsidRDefault="00A363F2" w:rsidP="0071669E">
            <w:pPr>
              <w:spacing w:after="0" w:line="240" w:lineRule="auto"/>
              <w:jc w:val="both"/>
              <w:rPr>
                <w:rFonts w:ascii="Times New Roman" w:hAnsi="Times New Roman" w:cs="Times New Roman"/>
                <w:sz w:val="24"/>
                <w:szCs w:val="24"/>
                <w:lang w:eastAsia="en-US"/>
              </w:rPr>
            </w:pPr>
          </w:p>
        </w:tc>
        <w:tc>
          <w:tcPr>
            <w:tcW w:w="9522" w:type="dxa"/>
          </w:tcPr>
          <w:p w:rsidR="00A363F2" w:rsidRPr="00226E0B" w:rsidRDefault="00A363F2" w:rsidP="0071669E">
            <w:pPr>
              <w:spacing w:after="0" w:line="240" w:lineRule="auto"/>
              <w:jc w:val="both"/>
              <w:rPr>
                <w:rFonts w:ascii="Times New Roman" w:hAnsi="Times New Roman" w:cs="Times New Roman"/>
                <w:sz w:val="24"/>
                <w:szCs w:val="24"/>
                <w:lang w:eastAsia="en-US"/>
              </w:rPr>
            </w:pPr>
          </w:p>
        </w:tc>
      </w:tr>
      <w:tr w:rsidR="00A363F2" w:rsidRPr="00226E0B" w:rsidTr="0071669E">
        <w:tc>
          <w:tcPr>
            <w:tcW w:w="2618" w:type="dxa"/>
          </w:tcPr>
          <w:p w:rsidR="00A363F2" w:rsidRPr="00226E0B" w:rsidRDefault="00A363F2" w:rsidP="0071669E">
            <w:pPr>
              <w:spacing w:after="0" w:line="240" w:lineRule="auto"/>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Yürütme Yetkisi</w:t>
            </w:r>
          </w:p>
        </w:tc>
        <w:tc>
          <w:tcPr>
            <w:tcW w:w="10621" w:type="dxa"/>
            <w:gridSpan w:val="3"/>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 xml:space="preserve">20. Bu Yasayı, Bakanlar Kurulu adına Tarım İşleriyle Görevli Bakan yürütür. </w:t>
            </w:r>
          </w:p>
        </w:tc>
      </w:tr>
      <w:tr w:rsidR="00A363F2" w:rsidRPr="00226E0B" w:rsidTr="0071669E">
        <w:tc>
          <w:tcPr>
            <w:tcW w:w="2618" w:type="dxa"/>
          </w:tcPr>
          <w:p w:rsidR="00A363F2" w:rsidRPr="00226E0B" w:rsidRDefault="00A363F2" w:rsidP="0071669E">
            <w:pPr>
              <w:spacing w:after="0" w:line="240" w:lineRule="auto"/>
              <w:rPr>
                <w:rFonts w:ascii="Times New Roman" w:hAnsi="Times New Roman" w:cs="Times New Roman"/>
                <w:noProof/>
                <w:sz w:val="24"/>
                <w:szCs w:val="24"/>
                <w:lang w:eastAsia="en-US"/>
              </w:rPr>
            </w:pPr>
          </w:p>
        </w:tc>
        <w:tc>
          <w:tcPr>
            <w:tcW w:w="516" w:type="dxa"/>
          </w:tcPr>
          <w:p w:rsidR="00A363F2" w:rsidRPr="00226E0B" w:rsidRDefault="00A363F2" w:rsidP="0071669E">
            <w:pPr>
              <w:spacing w:after="0" w:line="240" w:lineRule="auto"/>
              <w:jc w:val="both"/>
              <w:rPr>
                <w:rFonts w:ascii="Times New Roman" w:hAnsi="Times New Roman" w:cs="Times New Roman"/>
                <w:sz w:val="24"/>
                <w:szCs w:val="24"/>
                <w:lang w:eastAsia="en-US"/>
              </w:rPr>
            </w:pPr>
          </w:p>
        </w:tc>
        <w:tc>
          <w:tcPr>
            <w:tcW w:w="583" w:type="dxa"/>
          </w:tcPr>
          <w:p w:rsidR="00A363F2" w:rsidRPr="00226E0B" w:rsidRDefault="00A363F2" w:rsidP="0071669E">
            <w:pPr>
              <w:spacing w:after="0" w:line="240" w:lineRule="auto"/>
              <w:jc w:val="both"/>
              <w:rPr>
                <w:rFonts w:ascii="Times New Roman" w:hAnsi="Times New Roman" w:cs="Times New Roman"/>
                <w:sz w:val="24"/>
                <w:szCs w:val="24"/>
                <w:lang w:eastAsia="en-US"/>
              </w:rPr>
            </w:pPr>
          </w:p>
        </w:tc>
        <w:tc>
          <w:tcPr>
            <w:tcW w:w="9522" w:type="dxa"/>
          </w:tcPr>
          <w:p w:rsidR="00A363F2" w:rsidRPr="00226E0B" w:rsidRDefault="00A363F2" w:rsidP="0071669E">
            <w:pPr>
              <w:spacing w:after="0" w:line="240" w:lineRule="auto"/>
              <w:jc w:val="both"/>
              <w:rPr>
                <w:rFonts w:ascii="Times New Roman" w:hAnsi="Times New Roman" w:cs="Times New Roman"/>
                <w:sz w:val="24"/>
                <w:szCs w:val="24"/>
                <w:lang w:eastAsia="en-US"/>
              </w:rPr>
            </w:pPr>
          </w:p>
        </w:tc>
      </w:tr>
      <w:tr w:rsidR="00A363F2" w:rsidRPr="00226E0B" w:rsidTr="0071669E">
        <w:tc>
          <w:tcPr>
            <w:tcW w:w="2618" w:type="dxa"/>
          </w:tcPr>
          <w:p w:rsidR="00A363F2" w:rsidRPr="00226E0B" w:rsidRDefault="00A363F2" w:rsidP="0071669E">
            <w:pPr>
              <w:spacing w:after="0" w:line="240" w:lineRule="auto"/>
              <w:rPr>
                <w:rFonts w:ascii="Times New Roman" w:hAnsi="Times New Roman" w:cs="Times New Roman"/>
                <w:noProof/>
                <w:sz w:val="24"/>
                <w:szCs w:val="24"/>
                <w:lang w:eastAsia="en-US"/>
              </w:rPr>
            </w:pPr>
            <w:r w:rsidRPr="00226E0B">
              <w:rPr>
                <w:rFonts w:ascii="Times New Roman" w:hAnsi="Times New Roman" w:cs="Times New Roman"/>
                <w:noProof/>
                <w:sz w:val="24"/>
                <w:szCs w:val="24"/>
                <w:lang w:eastAsia="en-US"/>
              </w:rPr>
              <w:t>Yürürlüğe Giriş</w:t>
            </w:r>
          </w:p>
        </w:tc>
        <w:tc>
          <w:tcPr>
            <w:tcW w:w="10621" w:type="dxa"/>
            <w:gridSpan w:val="3"/>
          </w:tcPr>
          <w:p w:rsidR="00A363F2" w:rsidRPr="00226E0B" w:rsidRDefault="00A363F2" w:rsidP="0071669E">
            <w:pPr>
              <w:spacing w:after="0" w:line="240" w:lineRule="auto"/>
              <w:jc w:val="both"/>
              <w:rPr>
                <w:rFonts w:ascii="Times New Roman" w:hAnsi="Times New Roman" w:cs="Times New Roman"/>
                <w:sz w:val="24"/>
                <w:szCs w:val="24"/>
                <w:lang w:eastAsia="en-US"/>
              </w:rPr>
            </w:pPr>
            <w:r w:rsidRPr="00226E0B">
              <w:rPr>
                <w:rFonts w:ascii="Times New Roman" w:hAnsi="Times New Roman" w:cs="Times New Roman"/>
                <w:sz w:val="24"/>
                <w:szCs w:val="24"/>
                <w:lang w:eastAsia="en-US"/>
              </w:rPr>
              <w:t>21. Bu Yasa, 1 Ocak 2021 tarihinden başlayarak yürürlüğe girer.</w:t>
            </w:r>
          </w:p>
        </w:tc>
      </w:tr>
      <w:tr w:rsidR="00A363F2" w:rsidRPr="00226E0B" w:rsidTr="0071669E">
        <w:tc>
          <w:tcPr>
            <w:tcW w:w="2618" w:type="dxa"/>
          </w:tcPr>
          <w:p w:rsidR="00A363F2" w:rsidRPr="00226E0B" w:rsidRDefault="00A363F2" w:rsidP="0071669E">
            <w:pPr>
              <w:spacing w:after="0" w:line="240" w:lineRule="auto"/>
              <w:rPr>
                <w:rFonts w:ascii="Times New Roman" w:hAnsi="Times New Roman" w:cs="Times New Roman"/>
                <w:noProof/>
                <w:sz w:val="24"/>
                <w:szCs w:val="24"/>
                <w:lang w:eastAsia="en-US"/>
              </w:rPr>
            </w:pPr>
          </w:p>
        </w:tc>
        <w:tc>
          <w:tcPr>
            <w:tcW w:w="10621" w:type="dxa"/>
            <w:gridSpan w:val="3"/>
          </w:tcPr>
          <w:p w:rsidR="00A363F2" w:rsidRPr="00226E0B" w:rsidRDefault="00A363F2" w:rsidP="0071669E">
            <w:pPr>
              <w:spacing w:after="0" w:line="240" w:lineRule="auto"/>
              <w:jc w:val="both"/>
              <w:rPr>
                <w:rFonts w:ascii="Times New Roman" w:hAnsi="Times New Roman" w:cs="Times New Roman"/>
                <w:sz w:val="24"/>
                <w:szCs w:val="24"/>
                <w:lang w:eastAsia="en-US"/>
              </w:rPr>
            </w:pPr>
          </w:p>
        </w:tc>
      </w:tr>
    </w:tbl>
    <w:p w:rsidR="00A363F2" w:rsidRPr="00226E0B" w:rsidRDefault="00A363F2" w:rsidP="00A363F2">
      <w:pPr>
        <w:rPr>
          <w:rFonts w:eastAsia="Calibri" w:cs="Times New Roman"/>
          <w:lang w:eastAsia="en-US"/>
        </w:rPr>
      </w:pPr>
    </w:p>
    <w:p w:rsidR="00A363F2" w:rsidRPr="00BE64FD" w:rsidRDefault="00A363F2" w:rsidP="00A363F2">
      <w:pPr>
        <w:pStyle w:val="NoSpacing"/>
        <w:ind w:firstLine="708"/>
        <w:rPr>
          <w:rFonts w:ascii="Times New Roman" w:hAnsi="Times New Roman" w:cs="Times New Roman"/>
          <w:sz w:val="26"/>
          <w:szCs w:val="26"/>
        </w:rPr>
      </w:pPr>
    </w:p>
    <w:p w:rsidR="00171731" w:rsidRDefault="00171731"/>
    <w:sectPr w:rsidR="00171731" w:rsidSect="00094A40">
      <w:headerReference w:type="even" r:id="rId5"/>
      <w:headerReference w:type="default" r:id="rId6"/>
      <w:footerReference w:type="even" r:id="rId7"/>
      <w:footerReference w:type="default" r:id="rId8"/>
      <w:headerReference w:type="first" r:id="rId9"/>
      <w:footerReference w:type="first" r:id="rId10"/>
      <w:pgSz w:w="16838" w:h="11906" w:orient="landscape"/>
      <w:pgMar w:top="1134" w:right="1412" w:bottom="426" w:left="141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DC" w:rsidRDefault="007A5E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DC" w:rsidRDefault="007A5E2D">
    <w:pPr>
      <w:pStyle w:val="Footer"/>
      <w:jc w:val="center"/>
    </w:pPr>
    <w:r>
      <w:fldChar w:fldCharType="begin"/>
    </w:r>
    <w:r>
      <w:instrText xml:space="preserve"> PAGE   \* MERGEFORMAT </w:instrText>
    </w:r>
    <w:r>
      <w:fldChar w:fldCharType="separate"/>
    </w:r>
    <w:r>
      <w:rPr>
        <w:noProof/>
      </w:rPr>
      <w:t>1</w:t>
    </w:r>
    <w:r>
      <w:rPr>
        <w:noProof/>
      </w:rPr>
      <w:fldChar w:fldCharType="end"/>
    </w:r>
  </w:p>
  <w:p w:rsidR="00696FDC" w:rsidRDefault="007A5E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DC" w:rsidRDefault="007A5E2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DC" w:rsidRDefault="007A5E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DC" w:rsidRDefault="007A5E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DC" w:rsidRDefault="007A5E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F2"/>
    <w:rsid w:val="00171731"/>
    <w:rsid w:val="007A5E2D"/>
    <w:rsid w:val="00A363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3F2"/>
    <w:rPr>
      <w:rFonts w:ascii="Calibri" w:eastAsia="Times New Roman" w:hAnsi="Calibri" w:cs="Calibri"/>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363F2"/>
    <w:pPr>
      <w:spacing w:after="0" w:line="240" w:lineRule="auto"/>
    </w:pPr>
    <w:rPr>
      <w:rFonts w:ascii="Calibri" w:eastAsia="Times New Roman" w:hAnsi="Calibri" w:cs="Calibri"/>
      <w:lang w:eastAsia="tr-TR"/>
    </w:rPr>
  </w:style>
  <w:style w:type="paragraph" w:styleId="Header">
    <w:name w:val="header"/>
    <w:basedOn w:val="Normal"/>
    <w:link w:val="HeaderChar"/>
    <w:uiPriority w:val="99"/>
    <w:rsid w:val="00A363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63F2"/>
    <w:rPr>
      <w:rFonts w:ascii="Calibri" w:eastAsia="Times New Roman" w:hAnsi="Calibri" w:cs="Calibri"/>
      <w:lang w:eastAsia="tr-TR"/>
    </w:rPr>
  </w:style>
  <w:style w:type="paragraph" w:styleId="Footer">
    <w:name w:val="footer"/>
    <w:basedOn w:val="Normal"/>
    <w:link w:val="FooterChar"/>
    <w:uiPriority w:val="99"/>
    <w:rsid w:val="00A363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63F2"/>
    <w:rPr>
      <w:rFonts w:ascii="Calibri" w:eastAsia="Times New Roman" w:hAnsi="Calibri" w:cs="Calibri"/>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3F2"/>
    <w:rPr>
      <w:rFonts w:ascii="Calibri" w:eastAsia="Times New Roman" w:hAnsi="Calibri" w:cs="Calibri"/>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363F2"/>
    <w:pPr>
      <w:spacing w:after="0" w:line="240" w:lineRule="auto"/>
    </w:pPr>
    <w:rPr>
      <w:rFonts w:ascii="Calibri" w:eastAsia="Times New Roman" w:hAnsi="Calibri" w:cs="Calibri"/>
      <w:lang w:eastAsia="tr-TR"/>
    </w:rPr>
  </w:style>
  <w:style w:type="paragraph" w:styleId="Header">
    <w:name w:val="header"/>
    <w:basedOn w:val="Normal"/>
    <w:link w:val="HeaderChar"/>
    <w:uiPriority w:val="99"/>
    <w:rsid w:val="00A363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63F2"/>
    <w:rPr>
      <w:rFonts w:ascii="Calibri" w:eastAsia="Times New Roman" w:hAnsi="Calibri" w:cs="Calibri"/>
      <w:lang w:eastAsia="tr-TR"/>
    </w:rPr>
  </w:style>
  <w:style w:type="paragraph" w:styleId="Footer">
    <w:name w:val="footer"/>
    <w:basedOn w:val="Normal"/>
    <w:link w:val="FooterChar"/>
    <w:uiPriority w:val="99"/>
    <w:rsid w:val="00A363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63F2"/>
    <w:rPr>
      <w:rFonts w:ascii="Calibri" w:eastAsia="Times New Roman" w:hAnsi="Calibri" w:cs="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Feyza Sarıkamış</dc:creator>
  <cp:lastModifiedBy>Feyza Sarıkamış</cp:lastModifiedBy>
  <cp:revision>2</cp:revision>
  <dcterms:created xsi:type="dcterms:W3CDTF">2021-12-06T09:27:00Z</dcterms:created>
  <dcterms:modified xsi:type="dcterms:W3CDTF">2021-12-06T09:30:00Z</dcterms:modified>
</cp:coreProperties>
</file>