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F4" w:rsidRDefault="00B06DF4" w:rsidP="00B06D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Kuzey Kıbrıs Türk Cumhuriyeti Cumhuriyet Meclisi'nin 5 Mayıs 2020 tarihli Ellinci Birleşiminde Oybirliğiyle kabul olunan "Sokağa Çıkma Yasağı (Değişiklik) Yasası" Anayasanın 94'üncü maddesinin (l)'inci fıkrası gereğince Kuzey Kıbrıs Türk Cumhuriyeti Cumhurbaşkanı tarafından Resmi </w:t>
      </w:r>
      <w:proofErr w:type="spellStart"/>
      <w:r w:rsidRPr="00B06DF4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Gazete'de</w:t>
      </w:r>
      <w:proofErr w:type="spellEnd"/>
      <w:r w:rsidRPr="00B06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yayımlanmak suretiyle ilan olunur.</w:t>
      </w:r>
    </w:p>
    <w:p w:rsidR="00B06DF4" w:rsidRDefault="00B06DF4" w:rsidP="00B06DF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Sayı: 16/2020</w:t>
      </w:r>
    </w:p>
    <w:p w:rsidR="00AD7D40" w:rsidRPr="00E94B45" w:rsidRDefault="00AD7D40" w:rsidP="00AD7D4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SOKAĞA ÇIKMA YASAĞI </w:t>
      </w:r>
      <w:r w:rsidR="00613A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(DEĞİŞİKLİK)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YASA</w:t>
      </w:r>
      <w:r w:rsidR="00FE5DA0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</w:p>
    <w:p w:rsidR="00AD7D40" w:rsidRPr="00E94469" w:rsidRDefault="00AD7D40" w:rsidP="00AD7D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8988" w:type="dxa"/>
        <w:tblLayout w:type="fixed"/>
        <w:tblLook w:val="01E0" w:firstRow="1" w:lastRow="1" w:firstColumn="1" w:lastColumn="1" w:noHBand="0" w:noVBand="0"/>
      </w:tblPr>
      <w:tblGrid>
        <w:gridCol w:w="1772"/>
        <w:gridCol w:w="37"/>
        <w:gridCol w:w="199"/>
        <w:gridCol w:w="1361"/>
        <w:gridCol w:w="5619"/>
      </w:tblGrid>
      <w:tr w:rsidR="00AD7D40" w:rsidRPr="00E94469" w:rsidTr="000026ED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AD7D40" w:rsidP="0000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2F65BA" w:rsidP="000026E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Kuzey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Kıbrıs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Türk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Cumhuriyeti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Cumhuriyet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Meclisi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aşağıdaki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Yasayı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yapar</w:t>
            </w:r>
            <w:proofErr w:type="spellEnd"/>
            <w:r w:rsidR="00613A0E" w:rsidRPr="00613A0E">
              <w:rPr>
                <w:rFonts w:eastAsia="Times New Roman"/>
                <w:sz w:val="24"/>
                <w:szCs w:val="24"/>
                <w:lang w:val="en-US" w:eastAsia="en-US"/>
              </w:rPr>
              <w:t>:</w:t>
            </w:r>
          </w:p>
        </w:tc>
      </w:tr>
      <w:tr w:rsidR="00613A0E" w:rsidRPr="00E94469" w:rsidTr="000026ED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13A0E" w:rsidRPr="00E94469" w:rsidRDefault="00613A0E" w:rsidP="0000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A0E" w:rsidRPr="00E94469" w:rsidRDefault="00613A0E" w:rsidP="000026ED">
            <w:pPr>
              <w:jc w:val="both"/>
              <w:rPr>
                <w:sz w:val="24"/>
                <w:szCs w:val="24"/>
              </w:rPr>
            </w:pPr>
          </w:p>
        </w:tc>
      </w:tr>
      <w:tr w:rsidR="00AD7D40" w:rsidRPr="00E94469" w:rsidTr="00585182">
        <w:trPr>
          <w:trHeight w:val="83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AD7D40" w:rsidP="000026ED">
            <w:pPr>
              <w:rPr>
                <w:sz w:val="24"/>
                <w:szCs w:val="24"/>
              </w:rPr>
            </w:pPr>
            <w:r w:rsidRPr="00E94469">
              <w:rPr>
                <w:sz w:val="24"/>
                <w:szCs w:val="24"/>
              </w:rPr>
              <w:t>Kısa İsim</w:t>
            </w:r>
          </w:p>
          <w:p w:rsidR="00AD7D40" w:rsidRPr="00E94469" w:rsidRDefault="006B2637" w:rsidP="006B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Fasıl 156</w:t>
            </w:r>
          </w:p>
          <w:p w:rsidR="00AD7D40" w:rsidRPr="00E94469" w:rsidRDefault="00AD7D40" w:rsidP="000026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AD7D40" w:rsidP="000026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94469">
              <w:rPr>
                <w:sz w:val="24"/>
                <w:szCs w:val="24"/>
              </w:rPr>
              <w:t xml:space="preserve">1. </w:t>
            </w:r>
            <w:r w:rsidR="00613A0E" w:rsidRPr="00613A0E">
              <w:rPr>
                <w:rFonts w:eastAsia="Calibri"/>
                <w:sz w:val="24"/>
                <w:szCs w:val="24"/>
                <w:lang w:eastAsia="en-US"/>
              </w:rPr>
              <w:t xml:space="preserve">Bu Yasa, Sokağa Çıkma </w:t>
            </w:r>
            <w:r w:rsidR="006B2637">
              <w:rPr>
                <w:rFonts w:eastAsia="Calibri"/>
                <w:sz w:val="24"/>
                <w:szCs w:val="24"/>
                <w:lang w:eastAsia="en-US"/>
              </w:rPr>
              <w:t xml:space="preserve">Yasağı </w:t>
            </w:r>
            <w:r w:rsidR="00613A0E" w:rsidRPr="00613A0E">
              <w:rPr>
                <w:rFonts w:eastAsia="Calibri"/>
                <w:sz w:val="24"/>
                <w:szCs w:val="24"/>
                <w:lang w:eastAsia="en-US"/>
              </w:rPr>
              <w:t xml:space="preserve">(Değişiklik) Yasası olarak isimlendirilir ve </w:t>
            </w:r>
            <w:r w:rsidR="00E82516">
              <w:rPr>
                <w:rFonts w:eastAsia="Calibri"/>
                <w:sz w:val="24"/>
                <w:szCs w:val="24"/>
                <w:lang w:eastAsia="en-US"/>
              </w:rPr>
              <w:t xml:space="preserve">aşağıda </w:t>
            </w:r>
            <w:r w:rsidR="00613A0E" w:rsidRPr="00613A0E">
              <w:rPr>
                <w:rFonts w:eastAsia="Calibri"/>
                <w:sz w:val="24"/>
                <w:szCs w:val="24"/>
                <w:lang w:eastAsia="en-US"/>
              </w:rPr>
              <w:t>“Esas Yasa” olarak anılan Sokağa Çıkma</w:t>
            </w:r>
            <w:r w:rsidR="006B2637">
              <w:rPr>
                <w:rFonts w:eastAsia="Calibri"/>
                <w:sz w:val="24"/>
                <w:szCs w:val="24"/>
                <w:lang w:eastAsia="en-US"/>
              </w:rPr>
              <w:t xml:space="preserve"> Yasağı</w:t>
            </w:r>
            <w:r w:rsidR="00613A0E" w:rsidRPr="00613A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50EEE">
              <w:rPr>
                <w:rFonts w:eastAsia="Calibri"/>
                <w:sz w:val="24"/>
                <w:szCs w:val="24"/>
                <w:lang w:eastAsia="en-US"/>
              </w:rPr>
              <w:t>Yasası ile birlikte okunur.</w:t>
            </w:r>
          </w:p>
        </w:tc>
      </w:tr>
      <w:tr w:rsidR="00943044" w:rsidRPr="00E94469" w:rsidTr="000026ED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3044" w:rsidRPr="00E94469" w:rsidRDefault="00943044" w:rsidP="00943044">
            <w:pPr>
              <w:rPr>
                <w:sz w:val="24"/>
                <w:szCs w:val="24"/>
              </w:rPr>
            </w:pP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Esas</w:t>
            </w:r>
            <w:proofErr w:type="spellEnd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Yasanın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4’üncü </w:t>
            </w: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44" w:rsidRDefault="00943044" w:rsidP="0094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Esas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Yasa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4’üncü </w:t>
            </w: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maddesi</w:t>
            </w:r>
            <w:proofErr w:type="spellEnd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kaldırılmak</w:t>
            </w:r>
            <w:proofErr w:type="spellEnd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ve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yerine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aşağıdaki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yeni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4’üncü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madde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konmak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suretiyle</w:t>
            </w:r>
            <w:proofErr w:type="spellEnd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değiştirilir</w:t>
            </w:r>
            <w:proofErr w:type="spellEnd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943044">
              <w:rPr>
                <w:rFonts w:eastAsia="Times New Roman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43044" w:rsidRPr="00E94469" w:rsidTr="000026ED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3044" w:rsidRPr="00943044" w:rsidRDefault="00943044" w:rsidP="0094304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3044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Maddesinin</w:t>
            </w:r>
            <w:proofErr w:type="spellEnd"/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44" w:rsidRDefault="00943044" w:rsidP="00943044">
            <w:pPr>
              <w:jc w:val="both"/>
              <w:rPr>
                <w:sz w:val="24"/>
                <w:szCs w:val="24"/>
              </w:rPr>
            </w:pPr>
          </w:p>
        </w:tc>
      </w:tr>
      <w:tr w:rsidR="00943044" w:rsidRPr="00E94469" w:rsidTr="00943044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3044" w:rsidRPr="00943044" w:rsidRDefault="00943044" w:rsidP="000026E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Değiştirilmesi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44" w:rsidRDefault="00943044" w:rsidP="00002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3044" w:rsidRDefault="00943044" w:rsidP="0094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gramStart"/>
            <w:r>
              <w:rPr>
                <w:sz w:val="24"/>
                <w:szCs w:val="24"/>
              </w:rPr>
              <w:t>Suç   ve</w:t>
            </w:r>
            <w:proofErr w:type="gramEnd"/>
            <w:r>
              <w:rPr>
                <w:sz w:val="24"/>
                <w:szCs w:val="24"/>
              </w:rPr>
              <w:t xml:space="preserve"> Cezalar</w:t>
            </w:r>
          </w:p>
          <w:p w:rsidR="00943044" w:rsidRDefault="00943044" w:rsidP="00943044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943044" w:rsidRDefault="00943044" w:rsidP="0052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24BD7">
              <w:rPr>
                <w:sz w:val="24"/>
                <w:szCs w:val="24"/>
              </w:rPr>
              <w:t>Bu Yasanın</w:t>
            </w:r>
            <w:r>
              <w:rPr>
                <w:sz w:val="24"/>
                <w:szCs w:val="24"/>
              </w:rPr>
              <w:t xml:space="preserve"> </w:t>
            </w:r>
            <w:r w:rsidRPr="00613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’nci </w:t>
            </w:r>
            <w:r w:rsidRPr="00613952">
              <w:rPr>
                <w:sz w:val="24"/>
                <w:szCs w:val="24"/>
              </w:rPr>
              <w:t>madde</w:t>
            </w:r>
            <w:r>
              <w:rPr>
                <w:sz w:val="24"/>
                <w:szCs w:val="24"/>
              </w:rPr>
              <w:t xml:space="preserve">si </w:t>
            </w:r>
            <w:r w:rsidRPr="00613952">
              <w:rPr>
                <w:sz w:val="24"/>
                <w:szCs w:val="24"/>
              </w:rPr>
              <w:t xml:space="preserve">uyarınca yapılan </w:t>
            </w:r>
            <w:r w:rsidR="00524BD7">
              <w:rPr>
                <w:sz w:val="24"/>
                <w:szCs w:val="24"/>
              </w:rPr>
              <w:t>Emirname</w:t>
            </w:r>
            <w:r w:rsidRPr="00613952">
              <w:rPr>
                <w:sz w:val="24"/>
                <w:szCs w:val="24"/>
              </w:rPr>
              <w:t xml:space="preserve"> kurallarına aykırı bir davranışta bulunan herhangi b</w:t>
            </w:r>
            <w:r>
              <w:rPr>
                <w:sz w:val="24"/>
                <w:szCs w:val="24"/>
              </w:rPr>
              <w:t>ir kişi bir suç işlemiş olur ve</w:t>
            </w:r>
            <w:r w:rsidRPr="00613952">
              <w:rPr>
                <w:sz w:val="24"/>
                <w:szCs w:val="24"/>
              </w:rPr>
              <w:t xml:space="preserve"> </w:t>
            </w:r>
            <w:proofErr w:type="gramStart"/>
            <w:r w:rsidR="00524BD7">
              <w:rPr>
                <w:sz w:val="24"/>
                <w:szCs w:val="24"/>
              </w:rPr>
              <w:t>mahkumiyeti</w:t>
            </w:r>
            <w:proofErr w:type="gramEnd"/>
            <w:r w:rsidR="00524BD7">
              <w:rPr>
                <w:sz w:val="24"/>
                <w:szCs w:val="24"/>
              </w:rPr>
              <w:t xml:space="preserve"> halinde </w:t>
            </w:r>
            <w:r w:rsidRPr="00613952">
              <w:rPr>
                <w:sz w:val="24"/>
                <w:szCs w:val="24"/>
              </w:rPr>
              <w:t xml:space="preserve">bir yıla kadar hapis cezasına veya </w:t>
            </w:r>
            <w:r>
              <w:rPr>
                <w:sz w:val="24"/>
                <w:szCs w:val="24"/>
              </w:rPr>
              <w:t>asgari ücretin %10 (yüzde on)’una</w:t>
            </w:r>
            <w:r w:rsidRPr="00613952">
              <w:rPr>
                <w:sz w:val="24"/>
                <w:szCs w:val="24"/>
              </w:rPr>
              <w:t xml:space="preserve"> kadar para cezasına veya her iki cezaya birden çarptırılabilir.</w:t>
            </w:r>
            <w:r>
              <w:rPr>
                <w:sz w:val="24"/>
                <w:szCs w:val="24"/>
              </w:rPr>
              <w:t>”</w:t>
            </w:r>
          </w:p>
        </w:tc>
      </w:tr>
      <w:tr w:rsidR="00613A0E" w:rsidRPr="00E94469" w:rsidTr="00613A0E">
        <w:trPr>
          <w:trHeight w:val="22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A0E" w:rsidRDefault="00613A0E" w:rsidP="000026ED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A0E" w:rsidRDefault="00613A0E" w:rsidP="000026ED">
            <w:pPr>
              <w:jc w:val="both"/>
              <w:rPr>
                <w:sz w:val="24"/>
                <w:szCs w:val="24"/>
              </w:rPr>
            </w:pPr>
          </w:p>
        </w:tc>
      </w:tr>
      <w:tr w:rsidR="00AD7D40" w:rsidRPr="00E94469" w:rsidTr="000026ED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Yürürlükten Kaldırma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R.G. EK I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Bölüm II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R.G. Sayı:</w:t>
            </w:r>
            <w:r w:rsidR="00D33D94">
              <w:rPr>
                <w:rFonts w:eastAsia="Times New Roman"/>
                <w:noProof/>
                <w:sz w:val="24"/>
                <w:szCs w:val="24"/>
              </w:rPr>
              <w:t xml:space="preserve"> 50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 xml:space="preserve">Sayı: </w:t>
            </w:r>
            <w:r w:rsidR="00D33D94">
              <w:rPr>
                <w:rFonts w:eastAsia="Times New Roman"/>
                <w:noProof/>
                <w:sz w:val="24"/>
                <w:szCs w:val="24"/>
              </w:rPr>
              <w:t>8/2020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25 Mart 2020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R.G. EK I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Bölüm II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R.G. Sayı:</w:t>
            </w:r>
            <w:r w:rsidR="00D33D94">
              <w:rPr>
                <w:rFonts w:eastAsia="Times New Roman"/>
                <w:noProof/>
                <w:sz w:val="24"/>
                <w:szCs w:val="24"/>
              </w:rPr>
              <w:t xml:space="preserve"> 57</w:t>
            </w:r>
          </w:p>
          <w:p w:rsidR="00613A0E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 xml:space="preserve">Sayı: </w:t>
            </w:r>
            <w:r w:rsidR="00D33D94">
              <w:rPr>
                <w:rFonts w:eastAsia="Times New Roman"/>
                <w:noProof/>
                <w:sz w:val="24"/>
                <w:szCs w:val="24"/>
              </w:rPr>
              <w:t>43/2020</w:t>
            </w:r>
          </w:p>
          <w:p w:rsidR="00AD7D40" w:rsidRPr="00613A0E" w:rsidRDefault="00613A0E" w:rsidP="00613A0E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13A0E">
              <w:rPr>
                <w:rFonts w:eastAsia="Times New Roman"/>
                <w:noProof/>
                <w:sz w:val="24"/>
                <w:szCs w:val="24"/>
              </w:rPr>
              <w:t>2 Nisan 2020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D40" w:rsidRPr="00524BD7" w:rsidRDefault="00943044" w:rsidP="00FC5B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D40">
              <w:rPr>
                <w:sz w:val="24"/>
                <w:szCs w:val="24"/>
              </w:rPr>
              <w:t xml:space="preserve">. </w:t>
            </w:r>
            <w:r w:rsidR="00C322C3" w:rsidRPr="00C322C3">
              <w:rPr>
                <w:rFonts w:eastAsia="Calibri"/>
                <w:sz w:val="24"/>
                <w:szCs w:val="24"/>
                <w:lang w:eastAsia="en-US"/>
              </w:rPr>
              <w:t xml:space="preserve">Bu </w:t>
            </w:r>
            <w:r w:rsidR="00E8251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C322C3" w:rsidRPr="00C322C3">
              <w:rPr>
                <w:rFonts w:eastAsia="Calibri"/>
                <w:sz w:val="24"/>
                <w:szCs w:val="24"/>
                <w:lang w:eastAsia="en-US"/>
              </w:rPr>
              <w:t>Değişiklik</w:t>
            </w:r>
            <w:r w:rsidR="00E82516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C322C3" w:rsidRPr="00C322C3">
              <w:rPr>
                <w:rFonts w:eastAsia="Calibri"/>
                <w:sz w:val="24"/>
                <w:szCs w:val="24"/>
                <w:lang w:eastAsia="en-US"/>
              </w:rPr>
              <w:t xml:space="preserve"> Yasa</w:t>
            </w:r>
            <w:r w:rsidR="00980F2D">
              <w:rPr>
                <w:rFonts w:eastAsia="Calibri"/>
                <w:sz w:val="24"/>
                <w:szCs w:val="24"/>
                <w:lang w:eastAsia="en-US"/>
              </w:rPr>
              <w:t>sı</w:t>
            </w:r>
            <w:r w:rsidR="00C322C3" w:rsidRPr="00C322C3">
              <w:rPr>
                <w:rFonts w:eastAsia="Calibri"/>
                <w:sz w:val="24"/>
                <w:szCs w:val="24"/>
                <w:lang w:eastAsia="en-US"/>
              </w:rPr>
              <w:t>nın yürürlüğe girdiği tarihten başlayarak</w:t>
            </w:r>
            <w:r w:rsidR="007A6E3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322C3" w:rsidRPr="00C322C3">
              <w:rPr>
                <w:rFonts w:eastAsia="Calibri"/>
                <w:sz w:val="24"/>
                <w:szCs w:val="24"/>
                <w:lang w:eastAsia="en-US"/>
              </w:rPr>
              <w:t xml:space="preserve">      8/2020 sayılı Sokağa Çıkma Yasağı Yasası Hakkında Yasa Gücünde Kararname ile 43/2020 sayılı Sokağa Çıkma Yasağı Yasası Hakkında Yasa Gücünde Kararname</w:t>
            </w:r>
            <w:r w:rsidR="0059748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FC5BF4">
              <w:rPr>
                <w:rFonts w:eastAsia="Calibri"/>
                <w:sz w:val="24"/>
                <w:szCs w:val="24"/>
                <w:lang w:eastAsia="en-US"/>
              </w:rPr>
              <w:t xml:space="preserve"> bu Kararnameler </w:t>
            </w:r>
            <w:r w:rsidR="00C322C3" w:rsidRPr="00C322C3">
              <w:rPr>
                <w:rFonts w:eastAsia="Calibri"/>
                <w:sz w:val="24"/>
                <w:szCs w:val="24"/>
                <w:lang w:eastAsia="en-US"/>
              </w:rPr>
              <w:t>altında yapılan işlemlere halel gelmeksizin yürürlükten kaldırılır.</w:t>
            </w:r>
          </w:p>
        </w:tc>
      </w:tr>
      <w:tr w:rsidR="00AD7D40" w:rsidRPr="00E94469" w:rsidTr="000026ED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AD7D40" w:rsidP="000026ED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D40" w:rsidRDefault="00AD7D40" w:rsidP="000026ED">
            <w:pPr>
              <w:jc w:val="both"/>
              <w:rPr>
                <w:sz w:val="24"/>
                <w:szCs w:val="24"/>
              </w:rPr>
            </w:pPr>
          </w:p>
        </w:tc>
      </w:tr>
      <w:tr w:rsidR="00AD7D40" w:rsidRPr="00E94469" w:rsidTr="000026ED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AD7D40" w:rsidP="005F29E6">
            <w:pPr>
              <w:jc w:val="both"/>
              <w:rPr>
                <w:sz w:val="24"/>
                <w:szCs w:val="24"/>
              </w:rPr>
            </w:pPr>
            <w:r w:rsidRPr="00E94469">
              <w:rPr>
                <w:sz w:val="24"/>
                <w:szCs w:val="24"/>
              </w:rPr>
              <w:t>Yürürlüğe Giriş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D40" w:rsidRPr="00E94469" w:rsidRDefault="00943044" w:rsidP="005F2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D40" w:rsidRPr="00E94469">
              <w:rPr>
                <w:sz w:val="24"/>
                <w:szCs w:val="24"/>
              </w:rPr>
              <w:t xml:space="preserve">. Bu Yasa, Resmi </w:t>
            </w:r>
            <w:proofErr w:type="spellStart"/>
            <w:r w:rsidR="00AD7D40" w:rsidRPr="00E94469">
              <w:rPr>
                <w:sz w:val="24"/>
                <w:szCs w:val="24"/>
              </w:rPr>
              <w:t>Gazete’de</w:t>
            </w:r>
            <w:proofErr w:type="spellEnd"/>
            <w:r w:rsidR="00AD7D40" w:rsidRPr="00E94469">
              <w:rPr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AD7D40" w:rsidRDefault="00AD7D40" w:rsidP="005F29E6">
      <w:pPr>
        <w:jc w:val="both"/>
      </w:pPr>
    </w:p>
    <w:p w:rsidR="00F44A77" w:rsidRPr="00AD7D40" w:rsidRDefault="00F44A77">
      <w:pPr>
        <w:rPr>
          <w:rFonts w:ascii="Times New Roman" w:hAnsi="Times New Roman" w:cs="Times New Roman"/>
          <w:sz w:val="26"/>
          <w:szCs w:val="26"/>
        </w:rPr>
      </w:pPr>
    </w:p>
    <w:sectPr w:rsidR="00F44A77" w:rsidRPr="00AD7D40" w:rsidSect="00D4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0"/>
    <w:rsid w:val="002F65BA"/>
    <w:rsid w:val="003F7FA5"/>
    <w:rsid w:val="00401A6B"/>
    <w:rsid w:val="004D1248"/>
    <w:rsid w:val="00524BD7"/>
    <w:rsid w:val="00585182"/>
    <w:rsid w:val="0059748F"/>
    <w:rsid w:val="005F29E6"/>
    <w:rsid w:val="005F4E00"/>
    <w:rsid w:val="00613A0E"/>
    <w:rsid w:val="006A06AD"/>
    <w:rsid w:val="006B2637"/>
    <w:rsid w:val="00760E30"/>
    <w:rsid w:val="007A6E3B"/>
    <w:rsid w:val="00943044"/>
    <w:rsid w:val="00980F2D"/>
    <w:rsid w:val="009C57BB"/>
    <w:rsid w:val="00AD7D40"/>
    <w:rsid w:val="00B06DF4"/>
    <w:rsid w:val="00B50EEE"/>
    <w:rsid w:val="00C322C3"/>
    <w:rsid w:val="00D33D94"/>
    <w:rsid w:val="00D63BDB"/>
    <w:rsid w:val="00DC677C"/>
    <w:rsid w:val="00E132A7"/>
    <w:rsid w:val="00E82516"/>
    <w:rsid w:val="00F44A77"/>
    <w:rsid w:val="00FA6DC7"/>
    <w:rsid w:val="00FC5BF4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40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rsid w:val="00AD7D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40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rsid w:val="00AD7D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gurkan artun</cp:lastModifiedBy>
  <cp:revision>2</cp:revision>
  <cp:lastPrinted>2020-05-05T22:08:00Z</cp:lastPrinted>
  <dcterms:created xsi:type="dcterms:W3CDTF">2020-06-19T10:20:00Z</dcterms:created>
  <dcterms:modified xsi:type="dcterms:W3CDTF">2020-06-19T10:20:00Z</dcterms:modified>
</cp:coreProperties>
</file>