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3B" w:rsidRDefault="00B14C3B" w:rsidP="00EC0588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708"/>
        <w:gridCol w:w="709"/>
        <w:gridCol w:w="5636"/>
      </w:tblGrid>
      <w:tr w:rsidR="002B5FAE" w:rsidRPr="00A12349" w:rsidTr="00523615">
        <w:tc>
          <w:tcPr>
            <w:tcW w:w="9288" w:type="dxa"/>
            <w:gridSpan w:val="5"/>
            <w:hideMark/>
          </w:tcPr>
          <w:p w:rsidR="002B5FAE" w:rsidRPr="00A12349" w:rsidRDefault="002B5FAE" w:rsidP="003F0012">
            <w:pPr>
              <w:ind w:right="200"/>
              <w:jc w:val="center"/>
              <w:rPr>
                <w:noProof/>
              </w:rPr>
            </w:pPr>
          </w:p>
        </w:tc>
      </w:tr>
      <w:tr w:rsidR="003F0012" w:rsidRPr="00A12349" w:rsidTr="00523615">
        <w:tc>
          <w:tcPr>
            <w:tcW w:w="9288" w:type="dxa"/>
            <w:gridSpan w:val="5"/>
          </w:tcPr>
          <w:p w:rsidR="003F0012" w:rsidRDefault="003F0012" w:rsidP="003F0012">
            <w:pPr>
              <w:ind w:right="200"/>
              <w:jc w:val="both"/>
            </w:pPr>
            <w:r>
              <w:t xml:space="preserve">Kuzey </w:t>
            </w:r>
            <w:r>
              <w:t>K</w:t>
            </w:r>
            <w:r>
              <w:t xml:space="preserve">ıbrıs Türk Cumhuriyeti Cumhuriyet Meclisi'nin 4 Ağustos 2020 tarihli Altıncı Olağanüstü Birleşiminde Oybirliğiyle kabul olunan "Köy ve Mahalle İhtiyar Heyetleri (Değişiklik) Yasası", Anayasanın 94'üncü maddesinin (l)'inci fıkrası gereğince Kuzey Kıbrıs Türk Cumhuriyeti Cumhurbaşkanı tarafından Resmi </w:t>
            </w:r>
            <w:proofErr w:type="spellStart"/>
            <w:r>
              <w:t>Gazete'de</w:t>
            </w:r>
            <w:proofErr w:type="spellEnd"/>
            <w:r>
              <w:t xml:space="preserve"> yayıml</w:t>
            </w:r>
            <w:r>
              <w:t xml:space="preserve">anmak suretiyle ilan olunur. </w:t>
            </w:r>
          </w:p>
          <w:p w:rsidR="003F0012" w:rsidRPr="00A12349" w:rsidRDefault="003F0012" w:rsidP="003F0012">
            <w:pPr>
              <w:ind w:right="200"/>
              <w:jc w:val="both"/>
            </w:pPr>
            <w:bookmarkStart w:id="0" w:name="_GoBack"/>
            <w:bookmarkEnd w:id="0"/>
          </w:p>
        </w:tc>
      </w:tr>
      <w:tr w:rsidR="003F0012" w:rsidRPr="00A12349" w:rsidTr="00523615">
        <w:tc>
          <w:tcPr>
            <w:tcW w:w="9288" w:type="dxa"/>
            <w:gridSpan w:val="5"/>
          </w:tcPr>
          <w:p w:rsidR="003F0012" w:rsidRPr="00A12349" w:rsidRDefault="003F0012" w:rsidP="003F0012">
            <w:pPr>
              <w:ind w:right="200"/>
              <w:jc w:val="center"/>
            </w:pPr>
            <w:r w:rsidRPr="00A12349">
              <w:t>KÖY VE MAHALLE İHTİYAR HEYETLERİ (DEĞİŞİKLİK) YASA</w:t>
            </w:r>
            <w:r>
              <w:t>SI</w:t>
            </w:r>
          </w:p>
          <w:p w:rsidR="003F0012" w:rsidRPr="00A12349" w:rsidRDefault="003F0012" w:rsidP="003F0012">
            <w:pPr>
              <w:ind w:right="200"/>
              <w:jc w:val="center"/>
            </w:pPr>
          </w:p>
        </w:tc>
      </w:tr>
      <w:tr w:rsidR="003F0012" w:rsidRPr="00A12349" w:rsidTr="00523615">
        <w:tc>
          <w:tcPr>
            <w:tcW w:w="9288" w:type="dxa"/>
            <w:gridSpan w:val="5"/>
          </w:tcPr>
          <w:p w:rsidR="003F0012" w:rsidRDefault="003F0012" w:rsidP="00C70614">
            <w:pPr>
              <w:ind w:right="200"/>
              <w:jc w:val="center"/>
            </w:pPr>
            <w:r>
              <w:t>Sayı: 37/2020</w:t>
            </w:r>
          </w:p>
          <w:p w:rsidR="003F0012" w:rsidRPr="00A12349" w:rsidRDefault="003F0012" w:rsidP="00C70614">
            <w:pPr>
              <w:ind w:right="200"/>
              <w:jc w:val="center"/>
            </w:pPr>
          </w:p>
        </w:tc>
      </w:tr>
      <w:tr w:rsidR="00A12349" w:rsidTr="00A12349">
        <w:tc>
          <w:tcPr>
            <w:tcW w:w="1951" w:type="dxa"/>
          </w:tcPr>
          <w:p w:rsidR="00A12349" w:rsidRDefault="00A12349" w:rsidP="00C70614">
            <w:pPr>
              <w:ind w:right="200"/>
              <w:jc w:val="center"/>
              <w:rPr>
                <w:noProof/>
              </w:rPr>
            </w:pPr>
          </w:p>
        </w:tc>
        <w:tc>
          <w:tcPr>
            <w:tcW w:w="7337" w:type="dxa"/>
            <w:gridSpan w:val="4"/>
          </w:tcPr>
          <w:p w:rsidR="00A12349" w:rsidRDefault="00A12349" w:rsidP="00B323AB">
            <w:pPr>
              <w:tabs>
                <w:tab w:val="left" w:pos="7121"/>
              </w:tabs>
              <w:jc w:val="both"/>
            </w:pPr>
            <w:r>
              <w:rPr>
                <w:noProof/>
              </w:rPr>
              <w:t xml:space="preserve">      Kuzey Kıbrıs Türk Cumhuriyeti Cumhuriyet Meclisi aşağıdaki Yasayı yapar:</w:t>
            </w:r>
          </w:p>
        </w:tc>
      </w:tr>
      <w:tr w:rsidR="00E15DB1" w:rsidTr="00A12349">
        <w:tc>
          <w:tcPr>
            <w:tcW w:w="1951" w:type="dxa"/>
          </w:tcPr>
          <w:p w:rsidR="00E15DB1" w:rsidRDefault="00E15DB1" w:rsidP="00C70614">
            <w:pPr>
              <w:ind w:right="200"/>
              <w:jc w:val="center"/>
              <w:rPr>
                <w:noProof/>
              </w:rPr>
            </w:pPr>
          </w:p>
        </w:tc>
        <w:tc>
          <w:tcPr>
            <w:tcW w:w="7337" w:type="dxa"/>
            <w:gridSpan w:val="4"/>
          </w:tcPr>
          <w:p w:rsidR="00E15DB1" w:rsidRDefault="00E15DB1" w:rsidP="00B323AB">
            <w:pPr>
              <w:tabs>
                <w:tab w:val="left" w:pos="7121"/>
              </w:tabs>
              <w:jc w:val="both"/>
              <w:rPr>
                <w:noProof/>
              </w:rPr>
            </w:pPr>
          </w:p>
        </w:tc>
      </w:tr>
      <w:tr w:rsidR="00A12349" w:rsidTr="00A12349">
        <w:trPr>
          <w:trHeight w:val="1180"/>
        </w:trPr>
        <w:tc>
          <w:tcPr>
            <w:tcW w:w="1951" w:type="dxa"/>
            <w:hideMark/>
          </w:tcPr>
          <w:p w:rsidR="00A12349" w:rsidRDefault="00A12349" w:rsidP="00C70614">
            <w:pPr>
              <w:ind w:right="200"/>
              <w:rPr>
                <w:noProof/>
              </w:rPr>
            </w:pPr>
            <w:r>
              <w:rPr>
                <w:noProof/>
              </w:rPr>
              <w:t>Kısa İsim</w:t>
            </w:r>
          </w:p>
          <w:p w:rsidR="00A12349" w:rsidRPr="0078191A" w:rsidRDefault="00A12349" w:rsidP="00C70614">
            <w:pPr>
              <w:ind w:right="200"/>
            </w:pPr>
            <w:r w:rsidRPr="0078191A">
              <w:t>43/2009</w:t>
            </w:r>
          </w:p>
          <w:p w:rsidR="00A12349" w:rsidRPr="0078191A" w:rsidRDefault="00A12349" w:rsidP="00C70614">
            <w:pPr>
              <w:ind w:right="200"/>
            </w:pPr>
            <w:r>
              <w:t xml:space="preserve">   </w:t>
            </w:r>
            <w:r w:rsidRPr="0078191A">
              <w:t>25/2010</w:t>
            </w:r>
          </w:p>
          <w:p w:rsidR="00A12349" w:rsidRDefault="00A12349" w:rsidP="00C70614">
            <w:pPr>
              <w:ind w:right="200"/>
            </w:pPr>
            <w:r w:rsidRPr="0078191A">
              <w:t xml:space="preserve"> </w:t>
            </w:r>
            <w:r>
              <w:t xml:space="preserve">    </w:t>
            </w:r>
            <w:r w:rsidRPr="0078191A">
              <w:t xml:space="preserve">9/2012  </w:t>
            </w:r>
            <w:r>
              <w:t xml:space="preserve">            </w:t>
            </w:r>
          </w:p>
          <w:p w:rsidR="00A12349" w:rsidRDefault="00A12349" w:rsidP="00C70614">
            <w:pPr>
              <w:ind w:right="200"/>
            </w:pPr>
            <w:r>
              <w:t xml:space="preserve">   </w:t>
            </w:r>
            <w:r w:rsidRPr="0078191A">
              <w:t>29/2015</w:t>
            </w:r>
          </w:p>
        </w:tc>
        <w:tc>
          <w:tcPr>
            <w:tcW w:w="7337" w:type="dxa"/>
            <w:gridSpan w:val="4"/>
            <w:hideMark/>
          </w:tcPr>
          <w:p w:rsidR="00A12349" w:rsidRDefault="00A12349" w:rsidP="00B323AB">
            <w:pPr>
              <w:tabs>
                <w:tab w:val="left" w:pos="7121"/>
              </w:tabs>
              <w:jc w:val="both"/>
              <w:rPr>
                <w:noProof/>
              </w:rPr>
            </w:pPr>
            <w:r>
              <w:rPr>
                <w:noProof/>
              </w:rPr>
              <w:t>1.</w:t>
            </w:r>
            <w:r>
              <w:t xml:space="preserve"> Bu Yasa, Köy ve Mahalle İhtiyar Heyetleri (Değişiklik) Yasası olarak isimlendirilir ve aşağıda “Esas Yasa” olarak anılan Köy ve Mahalle İhtiyar Heyetleri Yasası ile birlikte okunur.</w:t>
            </w:r>
          </w:p>
          <w:p w:rsidR="00A12349" w:rsidRDefault="00A12349" w:rsidP="00B323AB">
            <w:pPr>
              <w:tabs>
                <w:tab w:val="left" w:pos="7121"/>
              </w:tabs>
              <w:jc w:val="center"/>
              <w:rPr>
                <w:noProof/>
              </w:rPr>
            </w:pPr>
          </w:p>
        </w:tc>
      </w:tr>
      <w:tr w:rsidR="00A12349" w:rsidTr="00A12349">
        <w:trPr>
          <w:trHeight w:val="80"/>
        </w:trPr>
        <w:tc>
          <w:tcPr>
            <w:tcW w:w="1951" w:type="dxa"/>
          </w:tcPr>
          <w:p w:rsidR="00A12349" w:rsidRDefault="00A12349" w:rsidP="00C70614">
            <w:pPr>
              <w:ind w:right="200"/>
              <w:rPr>
                <w:noProof/>
              </w:rPr>
            </w:pPr>
          </w:p>
        </w:tc>
        <w:tc>
          <w:tcPr>
            <w:tcW w:w="7337" w:type="dxa"/>
            <w:gridSpan w:val="4"/>
          </w:tcPr>
          <w:p w:rsidR="00A12349" w:rsidRDefault="00A12349" w:rsidP="00B323AB">
            <w:pPr>
              <w:tabs>
                <w:tab w:val="left" w:pos="7121"/>
              </w:tabs>
              <w:jc w:val="both"/>
              <w:rPr>
                <w:noProof/>
              </w:rPr>
            </w:pPr>
          </w:p>
        </w:tc>
      </w:tr>
      <w:tr w:rsidR="00A12349" w:rsidTr="00E04181">
        <w:tc>
          <w:tcPr>
            <w:tcW w:w="1951" w:type="dxa"/>
            <w:hideMark/>
          </w:tcPr>
          <w:p w:rsidR="00A12349" w:rsidRDefault="005425F5" w:rsidP="00A12349">
            <w:pPr>
              <w:ind w:right="200"/>
              <w:rPr>
                <w:noProof/>
              </w:rPr>
            </w:pPr>
            <w:r>
              <w:rPr>
                <w:noProof/>
              </w:rPr>
              <w:t>Esas Yasa</w:t>
            </w:r>
            <w:r w:rsidR="00A12349">
              <w:rPr>
                <w:noProof/>
              </w:rPr>
              <w:t xml:space="preserve">nın 14’üncü Maddesinin </w:t>
            </w:r>
          </w:p>
        </w:tc>
        <w:tc>
          <w:tcPr>
            <w:tcW w:w="7337" w:type="dxa"/>
            <w:gridSpan w:val="4"/>
            <w:hideMark/>
          </w:tcPr>
          <w:p w:rsidR="00A12349" w:rsidRDefault="00A12349" w:rsidP="00B323AB">
            <w:pPr>
              <w:tabs>
                <w:tab w:val="left" w:pos="7121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2. </w:t>
            </w:r>
            <w:r>
              <w:t>Esas Yasa, 14’üncü maddesinin (4)’üncü fıkrası kaldırılmak ve yerine aşağıdaki yeni (4)’üncü fıkra konmak suretiyle değiştirilir:</w:t>
            </w:r>
          </w:p>
          <w:p w:rsidR="00A12349" w:rsidRDefault="00A12349" w:rsidP="00B323AB">
            <w:pPr>
              <w:tabs>
                <w:tab w:val="left" w:pos="7121"/>
              </w:tabs>
              <w:jc w:val="both"/>
            </w:pPr>
          </w:p>
        </w:tc>
      </w:tr>
      <w:tr w:rsidR="00752344" w:rsidTr="00A12349">
        <w:tc>
          <w:tcPr>
            <w:tcW w:w="1951" w:type="dxa"/>
          </w:tcPr>
          <w:p w:rsidR="00752344" w:rsidRDefault="00A12349" w:rsidP="00A12349">
            <w:pPr>
              <w:ind w:right="200"/>
              <w:jc w:val="both"/>
              <w:rPr>
                <w:noProof/>
              </w:rPr>
            </w:pPr>
            <w:r>
              <w:rPr>
                <w:noProof/>
              </w:rPr>
              <w:t>Değiştirilmesi</w:t>
            </w:r>
          </w:p>
        </w:tc>
        <w:tc>
          <w:tcPr>
            <w:tcW w:w="284" w:type="dxa"/>
          </w:tcPr>
          <w:p w:rsidR="00752344" w:rsidRDefault="00752344" w:rsidP="00B323AB">
            <w:pPr>
              <w:tabs>
                <w:tab w:val="left" w:pos="7121"/>
              </w:tabs>
              <w:jc w:val="both"/>
              <w:rPr>
                <w:noProof/>
              </w:rPr>
            </w:pPr>
          </w:p>
        </w:tc>
        <w:tc>
          <w:tcPr>
            <w:tcW w:w="708" w:type="dxa"/>
            <w:hideMark/>
          </w:tcPr>
          <w:p w:rsidR="00752344" w:rsidRDefault="00752344" w:rsidP="00B323AB">
            <w:pPr>
              <w:tabs>
                <w:tab w:val="left" w:pos="7121"/>
              </w:tabs>
              <w:jc w:val="both"/>
            </w:pPr>
            <w:r>
              <w:rPr>
                <w:sz w:val="22"/>
                <w:szCs w:val="22"/>
              </w:rPr>
              <w:t>“(4)</w:t>
            </w:r>
          </w:p>
        </w:tc>
        <w:tc>
          <w:tcPr>
            <w:tcW w:w="6345" w:type="dxa"/>
            <w:gridSpan w:val="2"/>
            <w:hideMark/>
          </w:tcPr>
          <w:p w:rsidR="00752344" w:rsidRDefault="00752344" w:rsidP="00B323AB">
            <w:pPr>
              <w:tabs>
                <w:tab w:val="left" w:pos="7121"/>
              </w:tabs>
              <w:jc w:val="both"/>
            </w:pPr>
            <w:r>
              <w:t xml:space="preserve">Bakanlık, her yıl Devlet Bütçesinde gösterilmek koşuluyla, bu maddede belirtilen harçların yanında, her ay Muhtarlıklara yürürlükte </w:t>
            </w:r>
            <w:r w:rsidR="00EB1C41">
              <w:t>bulunan aylık asgari ücretin %75 (yüzde yetmiş beş)’</w:t>
            </w:r>
            <w:r>
              <w:t>i oranında mali katkı yapar.</w:t>
            </w:r>
          </w:p>
        </w:tc>
      </w:tr>
      <w:tr w:rsidR="00B323AB" w:rsidTr="00A12349">
        <w:tc>
          <w:tcPr>
            <w:tcW w:w="1951" w:type="dxa"/>
          </w:tcPr>
          <w:p w:rsidR="00B323AB" w:rsidRDefault="00B323AB" w:rsidP="00A12349">
            <w:pPr>
              <w:ind w:right="200"/>
              <w:jc w:val="both"/>
              <w:rPr>
                <w:noProof/>
              </w:rPr>
            </w:pPr>
          </w:p>
        </w:tc>
        <w:tc>
          <w:tcPr>
            <w:tcW w:w="284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  <w:rPr>
                <w:noProof/>
              </w:rPr>
            </w:pPr>
          </w:p>
        </w:tc>
        <w:tc>
          <w:tcPr>
            <w:tcW w:w="708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</w:pPr>
            <w:r>
              <w:t>(A)</w:t>
            </w:r>
          </w:p>
        </w:tc>
        <w:tc>
          <w:tcPr>
            <w:tcW w:w="5636" w:type="dxa"/>
          </w:tcPr>
          <w:p w:rsidR="00B323AB" w:rsidRDefault="00B323AB" w:rsidP="00B323AB">
            <w:pPr>
              <w:tabs>
                <w:tab w:val="left" w:pos="7121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Bu fıkra tahtında Muhtarlıklara yapılacak mali katkı, ilgili İlçe Kaymakamlıklarının aylık onayı ile Muhtara aktarılır.</w:t>
            </w:r>
          </w:p>
        </w:tc>
      </w:tr>
      <w:tr w:rsidR="00B323AB" w:rsidTr="00A12349">
        <w:tc>
          <w:tcPr>
            <w:tcW w:w="1951" w:type="dxa"/>
          </w:tcPr>
          <w:p w:rsidR="00B323AB" w:rsidRDefault="00B323AB" w:rsidP="00A12349">
            <w:pPr>
              <w:ind w:right="200"/>
              <w:jc w:val="both"/>
              <w:rPr>
                <w:noProof/>
              </w:rPr>
            </w:pPr>
          </w:p>
        </w:tc>
        <w:tc>
          <w:tcPr>
            <w:tcW w:w="284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  <w:rPr>
                <w:noProof/>
              </w:rPr>
            </w:pPr>
          </w:p>
        </w:tc>
        <w:tc>
          <w:tcPr>
            <w:tcW w:w="708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</w:pPr>
            <w:r>
              <w:t>(B)</w:t>
            </w:r>
          </w:p>
        </w:tc>
        <w:tc>
          <w:tcPr>
            <w:tcW w:w="5636" w:type="dxa"/>
          </w:tcPr>
          <w:p w:rsidR="00B323AB" w:rsidRDefault="00B323AB" w:rsidP="00B323AB">
            <w:pPr>
              <w:tabs>
                <w:tab w:val="left" w:pos="7121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Bu fıkra tahtında Muhtarlıklara yapılan mali katkının harcaması Muhtar tarafından yapılır.</w:t>
            </w:r>
          </w:p>
        </w:tc>
      </w:tr>
      <w:tr w:rsidR="00B323AB" w:rsidTr="00A12349">
        <w:tc>
          <w:tcPr>
            <w:tcW w:w="1951" w:type="dxa"/>
          </w:tcPr>
          <w:p w:rsidR="00B323AB" w:rsidRDefault="00B323AB" w:rsidP="00A12349">
            <w:pPr>
              <w:ind w:right="200"/>
              <w:jc w:val="both"/>
              <w:rPr>
                <w:noProof/>
              </w:rPr>
            </w:pPr>
          </w:p>
        </w:tc>
        <w:tc>
          <w:tcPr>
            <w:tcW w:w="284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  <w:rPr>
                <w:noProof/>
              </w:rPr>
            </w:pPr>
          </w:p>
        </w:tc>
        <w:tc>
          <w:tcPr>
            <w:tcW w:w="708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</w:pPr>
            <w:r>
              <w:t>(C)</w:t>
            </w:r>
          </w:p>
        </w:tc>
        <w:tc>
          <w:tcPr>
            <w:tcW w:w="5636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</w:pPr>
            <w:r>
              <w:t>Muhtar, mali katkıdan seçildiği dönem içinde ve görevde olduğu süre içerisinde yapacağı harcamalarda, öncelikle Muhtarlık binasının su, elektrik ve telefonundan doğan giderleri karşılar.</w:t>
            </w:r>
          </w:p>
        </w:tc>
      </w:tr>
      <w:tr w:rsidR="00B323AB" w:rsidTr="00A12349">
        <w:tc>
          <w:tcPr>
            <w:tcW w:w="1951" w:type="dxa"/>
          </w:tcPr>
          <w:p w:rsidR="00B323AB" w:rsidRDefault="00B323AB" w:rsidP="00A12349">
            <w:pPr>
              <w:ind w:right="200"/>
              <w:jc w:val="both"/>
              <w:rPr>
                <w:noProof/>
              </w:rPr>
            </w:pPr>
          </w:p>
        </w:tc>
        <w:tc>
          <w:tcPr>
            <w:tcW w:w="284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  <w:rPr>
                <w:noProof/>
              </w:rPr>
            </w:pPr>
          </w:p>
        </w:tc>
        <w:tc>
          <w:tcPr>
            <w:tcW w:w="708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</w:pPr>
            <w:r>
              <w:t>(Ç)</w:t>
            </w:r>
          </w:p>
        </w:tc>
        <w:tc>
          <w:tcPr>
            <w:tcW w:w="5636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</w:pPr>
            <w:r>
              <w:t xml:space="preserve">Bu fıkra tahtında Muhtarlar yukarıdaki (C) bendinde belirtilen su, elektrik ve telefon giderlerinin ödendiğine dair </w:t>
            </w:r>
            <w:proofErr w:type="gramStart"/>
            <w:r>
              <w:t>belgeyi  Kaymakamlığa</w:t>
            </w:r>
            <w:proofErr w:type="gramEnd"/>
            <w:r>
              <w:t xml:space="preserve"> ibraz etmek zorundadır.</w:t>
            </w:r>
          </w:p>
        </w:tc>
      </w:tr>
      <w:tr w:rsidR="00B323AB" w:rsidTr="00A12349">
        <w:tc>
          <w:tcPr>
            <w:tcW w:w="1951" w:type="dxa"/>
          </w:tcPr>
          <w:p w:rsidR="00B323AB" w:rsidRDefault="00B323AB" w:rsidP="00A12349">
            <w:pPr>
              <w:ind w:right="200"/>
              <w:jc w:val="both"/>
              <w:rPr>
                <w:noProof/>
              </w:rPr>
            </w:pPr>
          </w:p>
        </w:tc>
        <w:tc>
          <w:tcPr>
            <w:tcW w:w="284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  <w:rPr>
                <w:noProof/>
              </w:rPr>
            </w:pPr>
          </w:p>
        </w:tc>
        <w:tc>
          <w:tcPr>
            <w:tcW w:w="708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</w:pPr>
            <w:r>
              <w:t>(D)</w:t>
            </w:r>
          </w:p>
        </w:tc>
        <w:tc>
          <w:tcPr>
            <w:tcW w:w="5636" w:type="dxa"/>
          </w:tcPr>
          <w:p w:rsidR="00B323AB" w:rsidRDefault="00B323AB" w:rsidP="00B323AB">
            <w:pPr>
              <w:tabs>
                <w:tab w:val="left" w:pos="7121"/>
              </w:tabs>
              <w:jc w:val="both"/>
            </w:pPr>
            <w:r>
              <w:t>Bakanlık, Muhtarın, yukarıdaki (C) bendinde belirtilen belgeleri ibraz etmemesi ve/veya bu Yasa kapsamındaki görev ve yetkilerini yerine getirmemesi halinde Muhtarlığa ait mali katkıyı durdurabilir.</w:t>
            </w:r>
            <w:r w:rsidR="005425F5">
              <w:t>”</w:t>
            </w:r>
          </w:p>
          <w:p w:rsidR="00B323AB" w:rsidRDefault="00B323AB" w:rsidP="00B323AB">
            <w:pPr>
              <w:tabs>
                <w:tab w:val="left" w:pos="7121"/>
              </w:tabs>
              <w:jc w:val="both"/>
            </w:pPr>
          </w:p>
        </w:tc>
      </w:tr>
      <w:tr w:rsidR="00B323AB" w:rsidTr="00425F3B">
        <w:tc>
          <w:tcPr>
            <w:tcW w:w="1951" w:type="dxa"/>
          </w:tcPr>
          <w:p w:rsidR="00B323AB" w:rsidRDefault="00B323AB" w:rsidP="00A12349">
            <w:pPr>
              <w:ind w:right="200"/>
              <w:jc w:val="both"/>
              <w:rPr>
                <w:noProof/>
              </w:rPr>
            </w:pPr>
            <w:r>
              <w:rPr>
                <w:noProof/>
              </w:rPr>
              <w:t>Yürürlüğe Giriş</w:t>
            </w:r>
          </w:p>
        </w:tc>
        <w:tc>
          <w:tcPr>
            <w:tcW w:w="7337" w:type="dxa"/>
            <w:gridSpan w:val="4"/>
          </w:tcPr>
          <w:p w:rsidR="00B323AB" w:rsidRDefault="00B323AB" w:rsidP="00B323AB">
            <w:pPr>
              <w:tabs>
                <w:tab w:val="left" w:pos="7121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3. </w:t>
            </w:r>
            <w:r>
              <w:t xml:space="preserve">Bu Yasa, Resmi </w:t>
            </w:r>
            <w:proofErr w:type="spellStart"/>
            <w:r>
              <w:t>Gazete’de</w:t>
            </w:r>
            <w:proofErr w:type="spellEnd"/>
            <w:r>
              <w:t xml:space="preserve"> yayımlandığı tarihten başlayarak yürürlüğe girer.</w:t>
            </w:r>
          </w:p>
        </w:tc>
      </w:tr>
    </w:tbl>
    <w:p w:rsidR="00B14C3B" w:rsidRPr="00EC0588" w:rsidRDefault="00B14C3B" w:rsidP="00A12349">
      <w:pPr>
        <w:jc w:val="both"/>
      </w:pPr>
    </w:p>
    <w:sectPr w:rsidR="00B14C3B" w:rsidRPr="00EC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7CA"/>
    <w:multiLevelType w:val="hybridMultilevel"/>
    <w:tmpl w:val="931C3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88"/>
    <w:rsid w:val="000C1778"/>
    <w:rsid w:val="00156BAB"/>
    <w:rsid w:val="00176D25"/>
    <w:rsid w:val="00190E28"/>
    <w:rsid w:val="00292E7A"/>
    <w:rsid w:val="002B5FAE"/>
    <w:rsid w:val="003F0012"/>
    <w:rsid w:val="00523615"/>
    <w:rsid w:val="005425F5"/>
    <w:rsid w:val="00567213"/>
    <w:rsid w:val="005B38B9"/>
    <w:rsid w:val="00643F82"/>
    <w:rsid w:val="00747E5F"/>
    <w:rsid w:val="00752344"/>
    <w:rsid w:val="00807E19"/>
    <w:rsid w:val="0092049A"/>
    <w:rsid w:val="009D0538"/>
    <w:rsid w:val="00A0425A"/>
    <w:rsid w:val="00A12349"/>
    <w:rsid w:val="00A32B55"/>
    <w:rsid w:val="00A816E4"/>
    <w:rsid w:val="00B14C3B"/>
    <w:rsid w:val="00B323AB"/>
    <w:rsid w:val="00E15DB1"/>
    <w:rsid w:val="00E512C4"/>
    <w:rsid w:val="00EB1C41"/>
    <w:rsid w:val="00EC0588"/>
    <w:rsid w:val="00F45C67"/>
    <w:rsid w:val="00F7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gurkan artun</cp:lastModifiedBy>
  <cp:revision>7</cp:revision>
  <cp:lastPrinted>2020-08-06T09:12:00Z</cp:lastPrinted>
  <dcterms:created xsi:type="dcterms:W3CDTF">2020-03-06T11:32:00Z</dcterms:created>
  <dcterms:modified xsi:type="dcterms:W3CDTF">2020-08-12T11:14:00Z</dcterms:modified>
</cp:coreProperties>
</file>