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7089"/>
      </w:tblGrid>
      <w:tr w:rsidR="00730F12" w:rsidTr="00730F12">
        <w:trPr>
          <w:trHeight w:val="435"/>
        </w:trPr>
        <w:tc>
          <w:tcPr>
            <w:tcW w:w="9465" w:type="dxa"/>
            <w:gridSpan w:val="4"/>
          </w:tcPr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</w:p>
          <w:p w:rsidR="00730F12" w:rsidRPr="00730F12" w:rsidRDefault="00730F12" w:rsidP="00730F12">
            <w:pPr>
              <w:widowControl w:val="0"/>
              <w:jc w:val="both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 xml:space="preserve">Kuzey Kıbrıs Türk Cumhuriyeti Cumhuriyet Meclisi’nin </w:t>
            </w:r>
            <w:r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29</w:t>
            </w: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 xml:space="preserve"> Haziran 2020 tarihli </w:t>
            </w:r>
            <w:r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Altmışbirinci</w:t>
            </w: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 xml:space="preserve"> Birleşiminde Oybirliğiyle kabul olunan “</w:t>
            </w:r>
            <w:r w:rsidRPr="00730F12">
              <w:rPr>
                <w:b/>
                <w:sz w:val="24"/>
                <w:szCs w:val="24"/>
              </w:rPr>
              <w:t>H</w:t>
            </w:r>
            <w:proofErr w:type="spellStart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ak</w:t>
            </w:r>
            <w:proofErr w:type="spellEnd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Düşümü</w:t>
            </w:r>
            <w:proofErr w:type="spellEnd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ve</w:t>
            </w:r>
            <w:proofErr w:type="spellEnd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Zamanaşımı</w:t>
            </w:r>
            <w:proofErr w:type="spellEnd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Sürelerinin</w:t>
            </w:r>
            <w:proofErr w:type="spellEnd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Durdurulması</w:t>
            </w:r>
            <w:proofErr w:type="spellEnd"/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30F12">
              <w:rPr>
                <w:b/>
                <w:sz w:val="24"/>
                <w:szCs w:val="24"/>
              </w:rPr>
              <w:t>(</w:t>
            </w:r>
            <w:proofErr w:type="spellStart"/>
            <w:r w:rsidRPr="00730F12">
              <w:rPr>
                <w:b/>
                <w:sz w:val="24"/>
                <w:szCs w:val="24"/>
              </w:rPr>
              <w:t>Geçici</w:t>
            </w:r>
            <w:proofErr w:type="spellEnd"/>
            <w:r w:rsidRPr="00730F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0F12">
              <w:rPr>
                <w:b/>
                <w:sz w:val="24"/>
                <w:szCs w:val="24"/>
              </w:rPr>
              <w:t>Kurallar</w:t>
            </w:r>
            <w:proofErr w:type="spellEnd"/>
            <w:r w:rsidRPr="00730F12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Yasası” Anayasanın 94’üncü maddesinin (1)’inci fıkrası gereğince Kuzey Kıbrıs Türk Cumhuriyeti Cumhurbaşkanı tarafından Resmi Gazete’de yayımlanmak sureti</w:t>
            </w:r>
            <w:bookmarkStart w:id="0" w:name="_GoBack"/>
            <w:bookmarkEnd w:id="0"/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yle ilan olunur.</w:t>
            </w:r>
          </w:p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</w:p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</w:p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</w:pPr>
            <w:r w:rsidRPr="00730F12"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  <w:t xml:space="preserve">Sayı: </w:t>
            </w:r>
            <w:r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  <w:t>30</w:t>
            </w:r>
            <w:r w:rsidRPr="00730F12"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  <w:t>/2020</w:t>
            </w: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30F12" w:rsidTr="00730F12">
        <w:trPr>
          <w:trHeight w:val="435"/>
        </w:trPr>
        <w:tc>
          <w:tcPr>
            <w:tcW w:w="9465" w:type="dxa"/>
            <w:gridSpan w:val="4"/>
          </w:tcPr>
          <w:p w:rsidR="00730F12" w:rsidRDefault="00730F12" w:rsidP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HAK DÜŞÜMÜ VE ZAMANAŞIMI SÜRELERİNİN DURDURULMASI </w:t>
            </w:r>
          </w:p>
          <w:p w:rsidR="00730F12" w:rsidRDefault="00730F12" w:rsidP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(GEÇİCİ KURALLAR) YASASI</w:t>
            </w: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30F12" w:rsidTr="00730F12">
        <w:trPr>
          <w:trHeight w:val="592"/>
        </w:trPr>
        <w:tc>
          <w:tcPr>
            <w:tcW w:w="9465" w:type="dxa"/>
            <w:gridSpan w:val="4"/>
            <w:hideMark/>
          </w:tcPr>
          <w:p w:rsidR="00730F12" w:rsidRDefault="00730F12">
            <w:pPr>
              <w:spacing w:after="160" w:line="252" w:lineRule="auto"/>
              <w:ind w:firstLine="1134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 xml:space="preserve">        Kuzey Kıbrıs Türk Cumhuriyeti Cumhuriyet Meclisi aşağıdaki Yasayı yapar:</w:t>
            </w:r>
          </w:p>
        </w:tc>
      </w:tr>
      <w:tr w:rsidR="00730F12" w:rsidTr="00730F12">
        <w:trPr>
          <w:trHeight w:val="302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 xml:space="preserve">Kısa İsim </w:t>
            </w:r>
          </w:p>
        </w:tc>
        <w:tc>
          <w:tcPr>
            <w:tcW w:w="8081" w:type="dxa"/>
            <w:gridSpan w:val="3"/>
            <w:hideMark/>
          </w:tcPr>
          <w:p w:rsidR="00730F12" w:rsidRDefault="00730F12">
            <w:pPr>
              <w:tabs>
                <w:tab w:val="left" w:pos="1908"/>
              </w:tabs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 xml:space="preserve">1. Bu </w:t>
            </w:r>
            <w:proofErr w:type="spellStart"/>
            <w:r>
              <w:rPr>
                <w:sz w:val="24"/>
                <w:szCs w:val="24"/>
              </w:rPr>
              <w:t>Yasa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Düşümü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ve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Zamanaşımı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Sürelerinin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Durdurulması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Geçici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Kurallar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Yasası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olarak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isimlendirilir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30F12" w:rsidTr="00730F12">
        <w:trPr>
          <w:trHeight w:val="266"/>
        </w:trPr>
        <w:tc>
          <w:tcPr>
            <w:tcW w:w="1384" w:type="dxa"/>
          </w:tcPr>
          <w:p w:rsidR="00730F12" w:rsidRDefault="00730F12">
            <w:pPr>
              <w:spacing w:after="160" w:line="252" w:lineRule="auto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8081" w:type="dxa"/>
            <w:gridSpan w:val="3"/>
          </w:tcPr>
          <w:p w:rsidR="00730F12" w:rsidRDefault="00730F12">
            <w:pPr>
              <w:tabs>
                <w:tab w:val="left" w:pos="1908"/>
              </w:tabs>
              <w:spacing w:line="277" w:lineRule="exact"/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30F12" w:rsidTr="00730F12">
        <w:trPr>
          <w:trHeight w:val="1167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8081" w:type="dxa"/>
            <w:gridSpan w:val="3"/>
            <w:hideMark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>2.</w:t>
            </w:r>
            <w:r>
              <w:rPr>
                <w:color w:val="00000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sz w:val="24"/>
                <w:szCs w:val="24"/>
              </w:rPr>
              <w:t xml:space="preserve">Bu </w:t>
            </w:r>
            <w:proofErr w:type="spellStart"/>
            <w:r>
              <w:rPr>
                <w:sz w:val="24"/>
                <w:szCs w:val="24"/>
              </w:rPr>
              <w:t>Yasa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Covid-19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salgın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hastalığı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nedeniyle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ülkedeki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kamusal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ve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ekonomik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faaliyetlerin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tamamen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veya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büyük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oranda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durdurulmuş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olduğu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dönemdeki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yasal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mevzuattan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kaynaklanan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hak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düşümü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ve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zamanaşımı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sürelerinin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askıya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alınması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suretiyle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hak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kayıplarının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önlenmesi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amaçlanır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30F12" w:rsidTr="00730F12">
        <w:trPr>
          <w:trHeight w:val="418"/>
        </w:trPr>
        <w:tc>
          <w:tcPr>
            <w:tcW w:w="1384" w:type="dxa"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3"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30F12" w:rsidTr="00730F12">
        <w:trPr>
          <w:trHeight w:val="1851"/>
        </w:trPr>
        <w:tc>
          <w:tcPr>
            <w:tcW w:w="1384" w:type="dxa"/>
            <w:hideMark/>
          </w:tcPr>
          <w:p w:rsidR="00730F12" w:rsidRDefault="00730F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Hakların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Doğumu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0F12" w:rsidRDefault="00730F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Kullanımı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Ermesine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İlişkin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Durdurul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(1)</w:t>
            </w:r>
          </w:p>
        </w:tc>
        <w:tc>
          <w:tcPr>
            <w:tcW w:w="7089" w:type="dxa"/>
            <w:hideMark/>
          </w:tcPr>
          <w:p w:rsidR="00730F12" w:rsidRDefault="00730F12">
            <w:pPr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Bu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Yasanın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yürürlüğe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girdiği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tarih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itibariyle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yürürlükte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bulunan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herhangi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bir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yasa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tahtında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öngörülen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dava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açma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başvuru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itiraz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bildirim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ibraz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zamanaşımı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hak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düşümü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süreleri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dâhil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üzere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bir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hakkın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doğumu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kullanımı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veya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sona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ermesine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ilişkin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tüm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süreler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; 13/3/2020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tarihinden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sz w:val="24"/>
                <w:szCs w:val="24"/>
                <w:lang w:val="en-GB" w:eastAsia="en-GB"/>
              </w:rPr>
              <w:t xml:space="preserve">19/5/2020 </w:t>
            </w:r>
            <w:proofErr w:type="spellStart"/>
            <w:r>
              <w:rPr>
                <w:sz w:val="24"/>
                <w:szCs w:val="24"/>
                <w:lang w:val="en-GB" w:eastAsia="en-GB"/>
              </w:rPr>
              <w:t>tarihine</w:t>
            </w:r>
            <w:proofErr w:type="spellEnd"/>
            <w:r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kadar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(her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iki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tarih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dahil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üzere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durdurulur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. </w:t>
            </w:r>
          </w:p>
          <w:p w:rsidR="00730F12" w:rsidRDefault="00730F12">
            <w:pPr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Ancak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bu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Yasa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Anayasa’da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öngörülen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herhangi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bir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süreyi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etkilemez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30F12" w:rsidTr="00730F12">
        <w:trPr>
          <w:trHeight w:val="533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ması</w:t>
            </w:r>
            <w:proofErr w:type="spellEnd"/>
          </w:p>
        </w:tc>
        <w:tc>
          <w:tcPr>
            <w:tcW w:w="425" w:type="dxa"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(2)</w:t>
            </w:r>
          </w:p>
        </w:tc>
        <w:tc>
          <w:tcPr>
            <w:tcW w:w="7089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Bu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Yasa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ile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durdurulan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süreler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durma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süresinin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sona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erdiği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günü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takip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eden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ilk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iş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gününden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itibaren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tekrar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işlemeye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başlar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. </w:t>
            </w:r>
          </w:p>
        </w:tc>
      </w:tr>
      <w:tr w:rsidR="00730F12" w:rsidTr="00730F12">
        <w:trPr>
          <w:trHeight w:val="841"/>
        </w:trPr>
        <w:tc>
          <w:tcPr>
            <w:tcW w:w="1384" w:type="dxa"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(3)</w:t>
            </w:r>
          </w:p>
        </w:tc>
        <w:tc>
          <w:tcPr>
            <w:tcW w:w="7089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Bahse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konu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sürelerin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işlemesine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sebep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olan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olayın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13/3/2020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tarihi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GB" w:eastAsia="en-GB"/>
              </w:rPr>
              <w:t>ile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 19</w:t>
            </w:r>
            <w:proofErr w:type="gram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/5/2020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tarihi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arasında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doğmuş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olması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halinde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süre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bu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dönemi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takip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eden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ilk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iş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günü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işlemeye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/>
              </w:rPr>
              <w:t>başlar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30F12" w:rsidTr="00730F12">
        <w:trPr>
          <w:trHeight w:val="266"/>
        </w:trPr>
        <w:tc>
          <w:tcPr>
            <w:tcW w:w="1384" w:type="dxa"/>
          </w:tcPr>
          <w:p w:rsidR="00730F12" w:rsidRDefault="00730F12">
            <w:pPr>
              <w:spacing w:before="100" w:beforeAutospacing="1" w:after="100" w:afterAutospacing="1" w:line="252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9" w:type="dxa"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30F12" w:rsidTr="00730F12">
        <w:trPr>
          <w:trHeight w:val="322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Yürürlüğe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8081" w:type="dxa"/>
            <w:gridSpan w:val="3"/>
            <w:hideMark/>
          </w:tcPr>
          <w:p w:rsidR="00730F12" w:rsidRDefault="00730F1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Bu </w:t>
            </w:r>
            <w:proofErr w:type="spellStart"/>
            <w:r>
              <w:rPr>
                <w:sz w:val="24"/>
                <w:szCs w:val="24"/>
              </w:rPr>
              <w:t>Yasa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Resmi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Gazete’de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yayımlandığı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başlayarak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yürürlüğe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girer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30F12" w:rsidRDefault="00730F12" w:rsidP="00730F12">
      <w:pPr>
        <w:rPr>
          <w:sz w:val="24"/>
          <w:szCs w:val="24"/>
        </w:rPr>
      </w:pPr>
    </w:p>
    <w:p w:rsidR="006A6CDC" w:rsidRDefault="006A6CDC"/>
    <w:sectPr w:rsidR="006A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1"/>
    <w:rsid w:val="003268E1"/>
    <w:rsid w:val="006A6CDC"/>
    <w:rsid w:val="007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locked/>
    <w:rsid w:val="00730F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30F12"/>
    <w:pPr>
      <w:widowControl w:val="0"/>
      <w:shd w:val="clear" w:color="auto" w:fill="FFFFFF"/>
      <w:spacing w:after="540" w:line="292" w:lineRule="exact"/>
      <w:ind w:hanging="500"/>
      <w:jc w:val="center"/>
    </w:pPr>
    <w:rPr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730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locked/>
    <w:rsid w:val="00730F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30F12"/>
    <w:pPr>
      <w:widowControl w:val="0"/>
      <w:shd w:val="clear" w:color="auto" w:fill="FFFFFF"/>
      <w:spacing w:after="540" w:line="292" w:lineRule="exact"/>
      <w:ind w:hanging="500"/>
      <w:jc w:val="center"/>
    </w:pPr>
    <w:rPr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730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Beyaz</dc:creator>
  <cp:keywords/>
  <dc:description/>
  <cp:lastModifiedBy>Nedret Beyaz</cp:lastModifiedBy>
  <cp:revision>2</cp:revision>
  <dcterms:created xsi:type="dcterms:W3CDTF">2020-07-16T10:31:00Z</dcterms:created>
  <dcterms:modified xsi:type="dcterms:W3CDTF">2020-07-16T10:33:00Z</dcterms:modified>
</cp:coreProperties>
</file>