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8"/>
        <w:gridCol w:w="855"/>
        <w:gridCol w:w="391"/>
        <w:gridCol w:w="567"/>
        <w:gridCol w:w="5320"/>
      </w:tblGrid>
      <w:tr w:rsidR="00EA3183" w:rsidRPr="00256035" w:rsidTr="00EA3183">
        <w:tc>
          <w:tcPr>
            <w:tcW w:w="9397" w:type="dxa"/>
            <w:gridSpan w:val="6"/>
          </w:tcPr>
          <w:p w:rsidR="00EA3183" w:rsidRPr="00256035" w:rsidRDefault="00256035" w:rsidP="00256035">
            <w:pPr>
              <w:jc w:val="both"/>
              <w:rPr>
                <w:b/>
                <w:sz w:val="24"/>
                <w:szCs w:val="24"/>
                <w:lang w:val="tr-TR"/>
              </w:rPr>
            </w:pPr>
            <w:proofErr w:type="spellStart"/>
            <w:r w:rsidRPr="00256035">
              <w:rPr>
                <w:sz w:val="24"/>
                <w:szCs w:val="24"/>
              </w:rPr>
              <w:t>Kuzey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Kıbrıs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Türk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Cumhuriyeti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Meclisi'nin</w:t>
            </w:r>
            <w:proofErr w:type="spellEnd"/>
            <w:r w:rsidRPr="00256035">
              <w:rPr>
                <w:sz w:val="24"/>
                <w:szCs w:val="24"/>
              </w:rPr>
              <w:t xml:space="preserve"> 27 Mart 2023 </w:t>
            </w:r>
            <w:proofErr w:type="spellStart"/>
            <w:r w:rsidRPr="00256035">
              <w:rPr>
                <w:sz w:val="24"/>
                <w:szCs w:val="24"/>
              </w:rPr>
              <w:t>tarihli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Otuzdokuzuncu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Birleşiminde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Oybirliğiyle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kabul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olunan</w:t>
            </w:r>
            <w:proofErr w:type="spellEnd"/>
            <w:r w:rsidRPr="00256035">
              <w:rPr>
                <w:sz w:val="24"/>
                <w:szCs w:val="24"/>
              </w:rPr>
              <w:t xml:space="preserve"> "</w:t>
            </w:r>
            <w:proofErr w:type="spellStart"/>
            <w:r w:rsidRPr="00256035">
              <w:rPr>
                <w:sz w:val="24"/>
                <w:szCs w:val="24"/>
              </w:rPr>
              <w:t>Katma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Değer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Vergisi</w:t>
            </w:r>
            <w:proofErr w:type="spellEnd"/>
            <w:r w:rsidRPr="00256035">
              <w:rPr>
                <w:sz w:val="24"/>
                <w:szCs w:val="24"/>
              </w:rPr>
              <w:t xml:space="preserve"> (</w:t>
            </w:r>
            <w:proofErr w:type="spellStart"/>
            <w:r w:rsidRPr="00256035">
              <w:rPr>
                <w:sz w:val="24"/>
                <w:szCs w:val="24"/>
              </w:rPr>
              <w:t>Değişiklik</w:t>
            </w:r>
            <w:proofErr w:type="spellEnd"/>
            <w:r w:rsidRPr="00256035">
              <w:rPr>
                <w:sz w:val="24"/>
                <w:szCs w:val="24"/>
              </w:rPr>
              <w:t xml:space="preserve">) </w:t>
            </w:r>
            <w:proofErr w:type="spellStart"/>
            <w:r w:rsidRPr="00256035">
              <w:rPr>
                <w:sz w:val="24"/>
                <w:szCs w:val="24"/>
              </w:rPr>
              <w:t>Yasası</w:t>
            </w:r>
            <w:proofErr w:type="spellEnd"/>
            <w:r w:rsidRPr="00256035">
              <w:rPr>
                <w:sz w:val="24"/>
                <w:szCs w:val="24"/>
              </w:rPr>
              <w:t xml:space="preserve">" </w:t>
            </w:r>
            <w:proofErr w:type="spellStart"/>
            <w:r w:rsidRPr="00256035">
              <w:rPr>
                <w:sz w:val="24"/>
                <w:szCs w:val="24"/>
              </w:rPr>
              <w:t>Anayasanın</w:t>
            </w:r>
            <w:proofErr w:type="spellEnd"/>
            <w:r w:rsidRPr="00256035">
              <w:rPr>
                <w:sz w:val="24"/>
                <w:szCs w:val="24"/>
              </w:rPr>
              <w:t xml:space="preserve"> 94'üncü </w:t>
            </w:r>
            <w:proofErr w:type="spellStart"/>
            <w:r w:rsidRPr="00256035">
              <w:rPr>
                <w:sz w:val="24"/>
                <w:szCs w:val="24"/>
              </w:rPr>
              <w:t>maddesinin</w:t>
            </w:r>
            <w:proofErr w:type="spellEnd"/>
            <w:r w:rsidRPr="00256035">
              <w:rPr>
                <w:sz w:val="24"/>
                <w:szCs w:val="24"/>
              </w:rPr>
              <w:t xml:space="preserve"> (l)'</w:t>
            </w:r>
            <w:proofErr w:type="spellStart"/>
            <w:r w:rsidRPr="00256035">
              <w:rPr>
                <w:sz w:val="24"/>
                <w:szCs w:val="24"/>
              </w:rPr>
              <w:t>inci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fıkrası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gereğince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Kuzey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Kıbrıs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Türk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Cumhuriyeti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Cumhurbaşkanı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tarafından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Resmi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Gazete'de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yayımlanmak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suretiyle</w:t>
            </w:r>
            <w:proofErr w:type="spellEnd"/>
            <w:r w:rsidRPr="00256035">
              <w:rPr>
                <w:sz w:val="24"/>
                <w:szCs w:val="24"/>
              </w:rPr>
              <w:t xml:space="preserve"> </w:t>
            </w:r>
            <w:proofErr w:type="spellStart"/>
            <w:r w:rsidRPr="00256035">
              <w:rPr>
                <w:sz w:val="24"/>
                <w:szCs w:val="24"/>
              </w:rPr>
              <w:t>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olunur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56035" w:rsidRPr="0083753A" w:rsidTr="00EA3183">
        <w:tc>
          <w:tcPr>
            <w:tcW w:w="9397" w:type="dxa"/>
            <w:gridSpan w:val="6"/>
          </w:tcPr>
          <w:p w:rsidR="00256035" w:rsidRPr="00256035" w:rsidRDefault="00256035" w:rsidP="00256035">
            <w:pPr>
              <w:jc w:val="center"/>
              <w:rPr>
                <w:sz w:val="24"/>
                <w:szCs w:val="24"/>
                <w:lang w:val="tr-TR"/>
              </w:rPr>
            </w:pPr>
            <w:bookmarkStart w:id="0" w:name="_GoBack" w:colFirst="0" w:colLast="0"/>
          </w:p>
        </w:tc>
      </w:tr>
      <w:tr w:rsidR="00256035" w:rsidRPr="0083753A" w:rsidTr="00EA3183">
        <w:tc>
          <w:tcPr>
            <w:tcW w:w="9397" w:type="dxa"/>
            <w:gridSpan w:val="6"/>
          </w:tcPr>
          <w:p w:rsidR="00256035" w:rsidRPr="00256035" w:rsidRDefault="00256035" w:rsidP="00256035">
            <w:pPr>
              <w:jc w:val="center"/>
              <w:rPr>
                <w:sz w:val="24"/>
                <w:szCs w:val="24"/>
                <w:lang w:val="tr-TR"/>
              </w:rPr>
            </w:pPr>
            <w:r w:rsidRPr="00256035">
              <w:rPr>
                <w:sz w:val="24"/>
                <w:szCs w:val="24"/>
                <w:lang w:val="tr-TR"/>
              </w:rPr>
              <w:t>13/2023</w:t>
            </w:r>
          </w:p>
        </w:tc>
      </w:tr>
      <w:bookmarkEnd w:id="0"/>
      <w:tr w:rsidR="00256035" w:rsidRPr="0083753A" w:rsidTr="00EA3183">
        <w:tc>
          <w:tcPr>
            <w:tcW w:w="9397" w:type="dxa"/>
            <w:gridSpan w:val="6"/>
          </w:tcPr>
          <w:p w:rsidR="00256035" w:rsidRDefault="00256035" w:rsidP="00256035">
            <w:pPr>
              <w:jc w:val="center"/>
              <w:rPr>
                <w:b/>
                <w:sz w:val="24"/>
                <w:szCs w:val="24"/>
                <w:lang w:val="tr-TR"/>
              </w:rPr>
            </w:pPr>
          </w:p>
        </w:tc>
      </w:tr>
      <w:tr w:rsidR="00256035" w:rsidRPr="0083753A" w:rsidTr="00EA3183">
        <w:tc>
          <w:tcPr>
            <w:tcW w:w="9397" w:type="dxa"/>
            <w:gridSpan w:val="6"/>
          </w:tcPr>
          <w:p w:rsidR="00256035" w:rsidRPr="00EB0B54" w:rsidRDefault="00256035" w:rsidP="00256035">
            <w:pPr>
              <w:jc w:val="center"/>
              <w:rPr>
                <w:sz w:val="24"/>
                <w:szCs w:val="24"/>
                <w:lang w:val="tr-TR"/>
              </w:rPr>
            </w:pPr>
            <w:r w:rsidRPr="00EB0B54">
              <w:rPr>
                <w:sz w:val="24"/>
                <w:szCs w:val="24"/>
                <w:lang w:val="tr-TR"/>
              </w:rPr>
              <w:t>KATMA DEĞER VE</w:t>
            </w:r>
            <w:r>
              <w:rPr>
                <w:sz w:val="24"/>
                <w:szCs w:val="24"/>
                <w:lang w:val="tr-TR"/>
              </w:rPr>
              <w:t>RGİSİ (DEĞİŞİKLİK) YASASI</w:t>
            </w:r>
          </w:p>
          <w:p w:rsidR="00256035" w:rsidRPr="00EB0B54" w:rsidRDefault="00256035" w:rsidP="00AB3260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256035" w:rsidRPr="0083753A" w:rsidTr="00EA3183">
        <w:tc>
          <w:tcPr>
            <w:tcW w:w="9397" w:type="dxa"/>
            <w:gridSpan w:val="6"/>
          </w:tcPr>
          <w:p w:rsidR="00256035" w:rsidRPr="00EB0B54" w:rsidRDefault="00256035" w:rsidP="00AB3260">
            <w:pPr>
              <w:jc w:val="center"/>
              <w:rPr>
                <w:sz w:val="24"/>
                <w:szCs w:val="24"/>
                <w:lang w:val="tr-TR"/>
              </w:rPr>
            </w:pPr>
          </w:p>
        </w:tc>
      </w:tr>
      <w:tr w:rsidR="00EA3183" w:rsidRPr="0083753A" w:rsidTr="00EA3183">
        <w:tc>
          <w:tcPr>
            <w:tcW w:w="1696" w:type="dxa"/>
          </w:tcPr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701" w:type="dxa"/>
            <w:gridSpan w:val="5"/>
          </w:tcPr>
          <w:p w:rsidR="00EA3183" w:rsidRPr="0083753A" w:rsidRDefault="00EA3183" w:rsidP="00AB3260">
            <w:pPr>
              <w:jc w:val="both"/>
              <w:rPr>
                <w:sz w:val="24"/>
                <w:szCs w:val="24"/>
                <w:lang w:val="tr-TR"/>
              </w:rPr>
            </w:pPr>
            <w:r w:rsidRPr="0083753A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            </w:t>
            </w:r>
            <w:r w:rsidRPr="0083753A">
              <w:rPr>
                <w:sz w:val="24"/>
                <w:szCs w:val="24"/>
                <w:lang w:val="tr-TR"/>
              </w:rPr>
              <w:t xml:space="preserve">Kuzey Kıbrıs Türk Cumhuriyeti </w:t>
            </w:r>
            <w:r>
              <w:rPr>
                <w:sz w:val="24"/>
                <w:szCs w:val="24"/>
                <w:lang w:val="tr-TR"/>
              </w:rPr>
              <w:t xml:space="preserve">Cumhuriyet </w:t>
            </w:r>
            <w:r w:rsidRPr="0083753A">
              <w:rPr>
                <w:sz w:val="24"/>
                <w:szCs w:val="24"/>
                <w:lang w:val="tr-TR"/>
              </w:rPr>
              <w:t>Meclisi aşağıdaki Yasayı yapar:</w:t>
            </w:r>
          </w:p>
        </w:tc>
      </w:tr>
      <w:tr w:rsidR="00EA3183" w:rsidRPr="0083753A" w:rsidTr="00EA3183">
        <w:tc>
          <w:tcPr>
            <w:tcW w:w="1696" w:type="dxa"/>
          </w:tcPr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701" w:type="dxa"/>
            <w:gridSpan w:val="5"/>
          </w:tcPr>
          <w:p w:rsidR="00EA3183" w:rsidRPr="0083753A" w:rsidRDefault="00EA3183" w:rsidP="00AB3260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EA3183" w:rsidRPr="0083753A" w:rsidTr="00EA3183">
        <w:tc>
          <w:tcPr>
            <w:tcW w:w="1696" w:type="dxa"/>
          </w:tcPr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Kısa </w:t>
            </w:r>
            <w:r w:rsidRPr="0083753A">
              <w:rPr>
                <w:sz w:val="24"/>
                <w:szCs w:val="24"/>
                <w:lang w:val="tr-TR"/>
              </w:rPr>
              <w:t>İsim</w:t>
            </w:r>
          </w:p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  <w:r w:rsidRPr="0083753A">
              <w:rPr>
                <w:sz w:val="24"/>
                <w:szCs w:val="24"/>
                <w:lang w:val="tr-TR"/>
              </w:rPr>
              <w:t>47/1992</w:t>
            </w:r>
          </w:p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 </w:t>
            </w:r>
            <w:r w:rsidRPr="0083753A">
              <w:rPr>
                <w:sz w:val="24"/>
                <w:szCs w:val="24"/>
                <w:lang w:val="tr-TR"/>
              </w:rPr>
              <w:t>8/1998</w:t>
            </w:r>
          </w:p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</w:t>
            </w:r>
            <w:r w:rsidRPr="0083753A">
              <w:rPr>
                <w:sz w:val="24"/>
                <w:szCs w:val="24"/>
                <w:lang w:val="tr-TR"/>
              </w:rPr>
              <w:t>36/2006</w:t>
            </w:r>
          </w:p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</w:t>
            </w:r>
            <w:r w:rsidRPr="0083753A">
              <w:rPr>
                <w:sz w:val="24"/>
                <w:szCs w:val="24"/>
                <w:lang w:val="tr-TR"/>
              </w:rPr>
              <w:t>17/2007</w:t>
            </w:r>
          </w:p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</w:t>
            </w:r>
            <w:r w:rsidRPr="0083753A">
              <w:rPr>
                <w:sz w:val="24"/>
                <w:szCs w:val="24"/>
                <w:lang w:val="tr-TR"/>
              </w:rPr>
              <w:t>70/2007</w:t>
            </w:r>
          </w:p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</w:t>
            </w:r>
            <w:r w:rsidRPr="0083753A">
              <w:rPr>
                <w:sz w:val="24"/>
                <w:szCs w:val="24"/>
                <w:lang w:val="tr-TR"/>
              </w:rPr>
              <w:t>45/2008</w:t>
            </w:r>
          </w:p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</w:t>
            </w:r>
            <w:r w:rsidRPr="0083753A">
              <w:rPr>
                <w:sz w:val="24"/>
                <w:szCs w:val="24"/>
                <w:lang w:val="tr-TR"/>
              </w:rPr>
              <w:t xml:space="preserve">41/2010 </w:t>
            </w:r>
          </w:p>
          <w:p w:rsidR="00EA3183" w:rsidRDefault="00EA3183" w:rsidP="00AB326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</w:t>
            </w:r>
            <w:r w:rsidRPr="0083753A">
              <w:rPr>
                <w:sz w:val="24"/>
                <w:szCs w:val="24"/>
                <w:lang w:val="tr-TR"/>
              </w:rPr>
              <w:t>33/2012</w:t>
            </w:r>
          </w:p>
          <w:p w:rsidR="00EA3183" w:rsidRPr="00022AAA" w:rsidRDefault="00EA3183" w:rsidP="00AB3260">
            <w:pPr>
              <w:rPr>
                <w:sz w:val="24"/>
                <w:szCs w:val="24"/>
                <w:lang w:val="tr-TR"/>
              </w:rPr>
            </w:pPr>
            <w:r w:rsidRPr="00022AAA">
              <w:rPr>
                <w:sz w:val="24"/>
                <w:szCs w:val="24"/>
                <w:lang w:val="tr-TR"/>
              </w:rPr>
              <w:t xml:space="preserve">   40/2014</w:t>
            </w:r>
          </w:p>
          <w:p w:rsidR="00EA3183" w:rsidRDefault="00EA3183" w:rsidP="00AB3260">
            <w:pPr>
              <w:rPr>
                <w:sz w:val="24"/>
                <w:szCs w:val="24"/>
                <w:lang w:val="tr-TR"/>
              </w:rPr>
            </w:pPr>
            <w:r w:rsidRPr="00022AAA">
              <w:rPr>
                <w:sz w:val="24"/>
                <w:szCs w:val="24"/>
                <w:lang w:val="tr-TR"/>
              </w:rPr>
              <w:t xml:space="preserve">   44/2017</w:t>
            </w:r>
          </w:p>
          <w:p w:rsidR="00EA3183" w:rsidRPr="0083753A" w:rsidRDefault="00EA3183" w:rsidP="00AB32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701" w:type="dxa"/>
            <w:gridSpan w:val="5"/>
          </w:tcPr>
          <w:p w:rsidR="00EA3183" w:rsidRPr="00055AB6" w:rsidRDefault="00EA3183" w:rsidP="00AB3260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1. </w:t>
            </w:r>
            <w:r w:rsidRPr="00055AB6">
              <w:rPr>
                <w:sz w:val="24"/>
                <w:szCs w:val="24"/>
                <w:lang w:val="tr-TR"/>
              </w:rPr>
              <w:t>Bu Yasa, Katma Değer Vergisi (Değişiklik) Yasası olarak isimlendirilir ve aşağıda “Esas Yasa” olarak anılan Katma Değer Vergisi Yasası ile birlikte okunur.</w:t>
            </w:r>
          </w:p>
        </w:tc>
      </w:tr>
      <w:tr w:rsidR="00EA3183" w:rsidRPr="0083753A" w:rsidTr="00EA3183">
        <w:tc>
          <w:tcPr>
            <w:tcW w:w="1696" w:type="dxa"/>
          </w:tcPr>
          <w:p w:rsidR="00EA3183" w:rsidRPr="00737C59" w:rsidRDefault="00EA3183" w:rsidP="00AB326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Esas Yasanın 30</w:t>
            </w:r>
            <w:r w:rsidRPr="00737C59">
              <w:rPr>
                <w:sz w:val="24"/>
                <w:szCs w:val="24"/>
                <w:lang w:val="tr-TR"/>
              </w:rPr>
              <w:t>’</w:t>
            </w:r>
            <w:r>
              <w:rPr>
                <w:sz w:val="24"/>
                <w:szCs w:val="24"/>
                <w:lang w:val="tr-TR"/>
              </w:rPr>
              <w:t xml:space="preserve">uncu </w:t>
            </w:r>
            <w:r w:rsidRPr="00737C59">
              <w:rPr>
                <w:sz w:val="24"/>
                <w:szCs w:val="24"/>
                <w:lang w:val="tr-TR"/>
              </w:rPr>
              <w:t xml:space="preserve">Maddesinin </w:t>
            </w:r>
          </w:p>
        </w:tc>
        <w:tc>
          <w:tcPr>
            <w:tcW w:w="7701" w:type="dxa"/>
            <w:gridSpan w:val="5"/>
          </w:tcPr>
          <w:p w:rsidR="00EA3183" w:rsidRPr="00737C59" w:rsidRDefault="00EA3183" w:rsidP="00AB3260">
            <w:pPr>
              <w:jc w:val="both"/>
              <w:rPr>
                <w:sz w:val="24"/>
                <w:szCs w:val="24"/>
                <w:lang w:val="tr-TR"/>
              </w:rPr>
            </w:pPr>
            <w:r w:rsidRPr="00737C59">
              <w:rPr>
                <w:sz w:val="24"/>
                <w:szCs w:val="24"/>
                <w:lang w:val="tr-TR"/>
              </w:rPr>
              <w:t>2.</w:t>
            </w:r>
            <w:r>
              <w:rPr>
                <w:sz w:val="24"/>
                <w:szCs w:val="24"/>
                <w:lang w:val="tr-TR"/>
              </w:rPr>
              <w:t xml:space="preserve"> Esas Yasa, </w:t>
            </w:r>
            <w:r w:rsidRPr="00737C59">
              <w:rPr>
                <w:sz w:val="24"/>
                <w:szCs w:val="24"/>
                <w:lang w:val="tr-TR"/>
              </w:rPr>
              <w:t xml:space="preserve">30’uncu </w:t>
            </w:r>
            <w:r>
              <w:rPr>
                <w:sz w:val="24"/>
                <w:szCs w:val="24"/>
                <w:lang w:val="tr-TR"/>
              </w:rPr>
              <w:t>maddesinin (2</w:t>
            </w:r>
            <w:r w:rsidRPr="00737C59">
              <w:rPr>
                <w:sz w:val="24"/>
                <w:szCs w:val="24"/>
                <w:lang w:val="tr-TR"/>
              </w:rPr>
              <w:t>)’</w:t>
            </w:r>
            <w:r>
              <w:rPr>
                <w:sz w:val="24"/>
                <w:szCs w:val="24"/>
                <w:lang w:val="tr-TR"/>
              </w:rPr>
              <w:t xml:space="preserve">nci fıkrası kaldırılmak ve yerine aşağıdaki yeni (2)’nci fıkra konmak </w:t>
            </w:r>
            <w:r w:rsidRPr="00737C59">
              <w:rPr>
                <w:sz w:val="24"/>
                <w:szCs w:val="24"/>
                <w:lang w:val="tr-TR"/>
              </w:rPr>
              <w:t xml:space="preserve">suretiyle </w:t>
            </w:r>
            <w:r>
              <w:rPr>
                <w:sz w:val="24"/>
                <w:szCs w:val="24"/>
                <w:lang w:val="tr-TR"/>
              </w:rPr>
              <w:t>değiştirilir:</w:t>
            </w:r>
          </w:p>
        </w:tc>
      </w:tr>
      <w:tr w:rsidR="00EA3183" w:rsidRPr="0083753A" w:rsidTr="00EA3183">
        <w:tc>
          <w:tcPr>
            <w:tcW w:w="1696" w:type="dxa"/>
          </w:tcPr>
          <w:p w:rsidR="00EA3183" w:rsidRPr="00737C59" w:rsidRDefault="00EA3183" w:rsidP="00AB3260">
            <w:pPr>
              <w:rPr>
                <w:sz w:val="24"/>
                <w:szCs w:val="24"/>
                <w:lang w:val="tr-TR"/>
              </w:rPr>
            </w:pPr>
            <w:r w:rsidRPr="00737C59">
              <w:rPr>
                <w:sz w:val="24"/>
                <w:szCs w:val="24"/>
                <w:lang w:val="tr-TR"/>
              </w:rPr>
              <w:t>Değiştirilmesi</w:t>
            </w:r>
          </w:p>
        </w:tc>
        <w:tc>
          <w:tcPr>
            <w:tcW w:w="568" w:type="dxa"/>
          </w:tcPr>
          <w:p w:rsidR="00EA3183" w:rsidRPr="00737C59" w:rsidRDefault="00EA3183" w:rsidP="00AB32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855" w:type="dxa"/>
          </w:tcPr>
          <w:p w:rsidR="00EA3183" w:rsidRPr="00737C59" w:rsidRDefault="00EA3183" w:rsidP="00AB3260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“(2)</w:t>
            </w:r>
          </w:p>
        </w:tc>
        <w:tc>
          <w:tcPr>
            <w:tcW w:w="6278" w:type="dxa"/>
            <w:gridSpan w:val="3"/>
          </w:tcPr>
          <w:p w:rsidR="00EA3183" w:rsidRDefault="00EA3183" w:rsidP="00AB3260">
            <w:pPr>
              <w:jc w:val="both"/>
              <w:rPr>
                <w:sz w:val="24"/>
                <w:szCs w:val="24"/>
                <w:lang w:val="tr-TR"/>
              </w:rPr>
            </w:pPr>
            <w:r w:rsidRPr="00A97EE6">
              <w:rPr>
                <w:sz w:val="24"/>
                <w:szCs w:val="24"/>
                <w:lang w:val="tr-TR"/>
              </w:rPr>
              <w:t>İşletmelere ait salon tipi motorlu ara</w:t>
            </w:r>
            <w:r>
              <w:rPr>
                <w:sz w:val="24"/>
                <w:szCs w:val="24"/>
                <w:lang w:val="tr-TR"/>
              </w:rPr>
              <w:t>çların alış belgelerinde göste</w:t>
            </w:r>
            <w:r w:rsidRPr="00A97EE6">
              <w:rPr>
                <w:sz w:val="24"/>
                <w:szCs w:val="24"/>
                <w:lang w:val="tr-TR"/>
              </w:rPr>
              <w:t>rilen katma değer vergisi</w:t>
            </w:r>
            <w:r w:rsidR="00CC311F">
              <w:rPr>
                <w:sz w:val="24"/>
                <w:szCs w:val="24"/>
                <w:lang w:val="tr-TR"/>
              </w:rPr>
              <w:t xml:space="preserve"> </w:t>
            </w:r>
            <w:r w:rsidR="00330DED">
              <w:rPr>
                <w:sz w:val="24"/>
                <w:szCs w:val="24"/>
                <w:lang w:val="tr-TR"/>
              </w:rPr>
              <w:t>(</w:t>
            </w:r>
            <w:r w:rsidRPr="00A97EE6">
              <w:rPr>
                <w:sz w:val="24"/>
                <w:szCs w:val="24"/>
                <w:lang w:val="tr-TR"/>
              </w:rPr>
              <w:t>faaliyetleri kısmen veya tamamen salon tipi motorlu araçların kiralanması veya</w:t>
            </w:r>
            <w:r>
              <w:rPr>
                <w:sz w:val="24"/>
                <w:szCs w:val="24"/>
                <w:lang w:val="tr-TR"/>
              </w:rPr>
              <w:t xml:space="preserve"> kamu aracı statüsünde işletilmesi</w:t>
            </w:r>
            <w:r w:rsidRPr="00A97EE6">
              <w:rPr>
                <w:sz w:val="24"/>
                <w:szCs w:val="24"/>
                <w:lang w:val="tr-TR"/>
              </w:rPr>
              <w:t xml:space="preserve"> olanların, bu amaçla işlettikleri araçların vergisi</w:t>
            </w:r>
            <w:r>
              <w:rPr>
                <w:sz w:val="24"/>
                <w:szCs w:val="24"/>
                <w:lang w:val="tr-TR"/>
              </w:rPr>
              <w:t xml:space="preserve"> ile motor gücü 1600 cc ve altında olan salon tipi araçların ve </w:t>
            </w:r>
            <w:r w:rsidR="00330DED">
              <w:rPr>
                <w:sz w:val="24"/>
                <w:szCs w:val="24"/>
                <w:lang w:val="tr-TR"/>
              </w:rPr>
              <w:t xml:space="preserve">CIF </w:t>
            </w:r>
            <w:r w:rsidR="00A97453">
              <w:rPr>
                <w:sz w:val="24"/>
                <w:szCs w:val="24"/>
                <w:lang w:val="tr-TR"/>
              </w:rPr>
              <w:t xml:space="preserve">değeri </w:t>
            </w:r>
            <w:r w:rsidR="00330DED">
              <w:rPr>
                <w:sz w:val="24"/>
                <w:szCs w:val="24"/>
                <w:lang w:val="tr-TR"/>
              </w:rPr>
              <w:t xml:space="preserve">(kıymeti) yürürlükte bulunan aylık asgari ücretin yetmiş katına kadar olan elektrikli </w:t>
            </w:r>
            <w:r>
              <w:rPr>
                <w:sz w:val="24"/>
                <w:szCs w:val="24"/>
                <w:lang w:val="tr-TR"/>
              </w:rPr>
              <w:t>motorlu araçların vergisi hariç</w:t>
            </w:r>
            <w:r w:rsidR="00330DED">
              <w:rPr>
                <w:sz w:val="24"/>
                <w:szCs w:val="24"/>
                <w:lang w:val="tr-TR"/>
              </w:rPr>
              <w:t>)</w:t>
            </w:r>
            <w:r>
              <w:rPr>
                <w:sz w:val="24"/>
                <w:szCs w:val="24"/>
                <w:lang w:val="tr-TR"/>
              </w:rPr>
              <w:t>”</w:t>
            </w:r>
          </w:p>
          <w:p w:rsidR="00EA3183" w:rsidRPr="00737C59" w:rsidRDefault="00EA3183" w:rsidP="00AB3260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EA3183" w:rsidRPr="0083753A" w:rsidTr="00EA3183">
        <w:tc>
          <w:tcPr>
            <w:tcW w:w="1696" w:type="dxa"/>
          </w:tcPr>
          <w:p w:rsidR="00EA3183" w:rsidRPr="00737C59" w:rsidRDefault="00EA3183" w:rsidP="00AB3260">
            <w:pPr>
              <w:rPr>
                <w:sz w:val="24"/>
                <w:szCs w:val="24"/>
                <w:lang w:val="tr-TR"/>
              </w:rPr>
            </w:pPr>
            <w:r w:rsidRPr="00505C3F">
              <w:rPr>
                <w:sz w:val="24"/>
                <w:szCs w:val="24"/>
                <w:lang w:val="tr-TR"/>
              </w:rPr>
              <w:t xml:space="preserve">Esas Yasanın 31’inci Maddesinin </w:t>
            </w:r>
          </w:p>
        </w:tc>
        <w:tc>
          <w:tcPr>
            <w:tcW w:w="7701" w:type="dxa"/>
            <w:gridSpan w:val="5"/>
          </w:tcPr>
          <w:p w:rsidR="00EA3183" w:rsidRPr="00737C59" w:rsidRDefault="00EA3183" w:rsidP="00AB3260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3. </w:t>
            </w:r>
            <w:r w:rsidRPr="00505C3F">
              <w:rPr>
                <w:sz w:val="24"/>
                <w:szCs w:val="24"/>
                <w:lang w:val="tr-TR"/>
              </w:rPr>
              <w:t>Esas Yasa, 31’inci maddesi kaldırılmak ve yerine aşağıdaki yeni 31’</w:t>
            </w:r>
            <w:r>
              <w:rPr>
                <w:sz w:val="24"/>
                <w:szCs w:val="24"/>
                <w:lang w:val="tr-TR"/>
              </w:rPr>
              <w:t>i</w:t>
            </w:r>
            <w:r w:rsidRPr="00505C3F">
              <w:rPr>
                <w:sz w:val="24"/>
                <w:szCs w:val="24"/>
                <w:lang w:val="tr-TR"/>
              </w:rPr>
              <w:t>nci madd</w:t>
            </w:r>
            <w:r>
              <w:rPr>
                <w:sz w:val="24"/>
                <w:szCs w:val="24"/>
                <w:lang w:val="tr-TR"/>
              </w:rPr>
              <w:t>e konmak suretiyle değiştirilir:</w:t>
            </w:r>
          </w:p>
        </w:tc>
      </w:tr>
      <w:tr w:rsidR="00EA3183" w:rsidRPr="0083753A" w:rsidTr="00EA3183">
        <w:tc>
          <w:tcPr>
            <w:tcW w:w="1696" w:type="dxa"/>
          </w:tcPr>
          <w:p w:rsidR="00EA3183" w:rsidRPr="00177CC7" w:rsidRDefault="00EA3183" w:rsidP="00AB3260">
            <w:pPr>
              <w:rPr>
                <w:lang w:val="tr-TR"/>
              </w:rPr>
            </w:pPr>
            <w:r w:rsidRPr="00505C3F">
              <w:rPr>
                <w:sz w:val="24"/>
                <w:szCs w:val="24"/>
                <w:lang w:val="tr-TR"/>
              </w:rPr>
              <w:t>Değiştirilmesi</w:t>
            </w:r>
          </w:p>
        </w:tc>
        <w:tc>
          <w:tcPr>
            <w:tcW w:w="1814" w:type="dxa"/>
            <w:gridSpan w:val="3"/>
          </w:tcPr>
          <w:p w:rsidR="00EA3183" w:rsidRPr="00062B9D" w:rsidRDefault="00EA3183" w:rsidP="00AB3260">
            <w:pPr>
              <w:rPr>
                <w:sz w:val="24"/>
                <w:szCs w:val="24"/>
                <w:lang w:val="tr-TR"/>
              </w:rPr>
            </w:pPr>
            <w:r w:rsidRPr="00062B9D">
              <w:rPr>
                <w:sz w:val="24"/>
                <w:szCs w:val="24"/>
                <w:lang w:val="tr-TR"/>
              </w:rPr>
              <w:t>“Amortismana Bağlı</w:t>
            </w:r>
            <w:r>
              <w:rPr>
                <w:sz w:val="24"/>
                <w:szCs w:val="24"/>
                <w:lang w:val="tr-TR"/>
              </w:rPr>
              <w:t xml:space="preserve"> E</w:t>
            </w:r>
            <w:r w:rsidRPr="00062B9D">
              <w:rPr>
                <w:sz w:val="24"/>
                <w:szCs w:val="24"/>
                <w:lang w:val="tr-TR"/>
              </w:rPr>
              <w:t xml:space="preserve">konomik Kıymetlere Ait İndirim </w:t>
            </w:r>
          </w:p>
        </w:tc>
        <w:tc>
          <w:tcPr>
            <w:tcW w:w="5887" w:type="dxa"/>
            <w:gridSpan w:val="2"/>
          </w:tcPr>
          <w:p w:rsidR="00EA3183" w:rsidRPr="00737C59" w:rsidRDefault="00EA3183" w:rsidP="00EA3183">
            <w:pPr>
              <w:jc w:val="both"/>
              <w:rPr>
                <w:sz w:val="24"/>
                <w:szCs w:val="24"/>
                <w:lang w:val="tr-TR"/>
              </w:rPr>
            </w:pPr>
            <w:r w:rsidRPr="00062B9D">
              <w:rPr>
                <w:sz w:val="24"/>
                <w:szCs w:val="24"/>
                <w:lang w:val="tr-TR"/>
              </w:rPr>
              <w:t>31.</w:t>
            </w:r>
            <w:r>
              <w:rPr>
                <w:sz w:val="24"/>
                <w:szCs w:val="24"/>
                <w:lang w:val="tr-TR"/>
              </w:rPr>
              <w:t xml:space="preserve"> </w:t>
            </w:r>
            <w:r w:rsidRPr="00177CC7">
              <w:rPr>
                <w:sz w:val="24"/>
                <w:szCs w:val="24"/>
                <w:lang w:val="tr-TR"/>
              </w:rPr>
              <w:t>Amortismana bağlı ekonomik kıymetlerin katma değer vergisi bunların aktife girdiği veya kullanılmaya başlandığı vergilendirme döneminde bir defada indirim konusu yapılır.”</w:t>
            </w:r>
          </w:p>
        </w:tc>
      </w:tr>
      <w:tr w:rsidR="00EA3183" w:rsidRPr="0083753A" w:rsidTr="00EA3183">
        <w:tc>
          <w:tcPr>
            <w:tcW w:w="1696" w:type="dxa"/>
          </w:tcPr>
          <w:p w:rsidR="00EA3183" w:rsidRPr="00505C3F" w:rsidRDefault="00EA3183" w:rsidP="00AB32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814" w:type="dxa"/>
            <w:gridSpan w:val="3"/>
          </w:tcPr>
          <w:p w:rsidR="00EA3183" w:rsidRPr="00062B9D" w:rsidRDefault="00EA3183" w:rsidP="00AB3260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67" w:type="dxa"/>
          </w:tcPr>
          <w:p w:rsidR="00EA3183" w:rsidRPr="00062B9D" w:rsidRDefault="00EA3183" w:rsidP="00AB3260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320" w:type="dxa"/>
          </w:tcPr>
          <w:p w:rsidR="00EA3183" w:rsidRPr="00177CC7" w:rsidRDefault="00EA3183" w:rsidP="00AB3260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EA3183" w:rsidRPr="0083753A" w:rsidTr="00EA3183">
        <w:tc>
          <w:tcPr>
            <w:tcW w:w="1696" w:type="dxa"/>
          </w:tcPr>
          <w:p w:rsidR="00EA3183" w:rsidRDefault="00EA3183" w:rsidP="00AB3260">
            <w:pPr>
              <w:rPr>
                <w:sz w:val="24"/>
                <w:szCs w:val="24"/>
                <w:lang w:val="tr-TR"/>
              </w:rPr>
            </w:pPr>
            <w:r w:rsidRPr="00BE4937">
              <w:rPr>
                <w:sz w:val="24"/>
                <w:szCs w:val="24"/>
                <w:lang w:val="tr-TR"/>
              </w:rPr>
              <w:t>Yürürlüğe Giriş</w:t>
            </w:r>
          </w:p>
          <w:p w:rsidR="00EA3183" w:rsidRPr="007E294B" w:rsidRDefault="00EA3183" w:rsidP="00AB3260">
            <w:pPr>
              <w:rPr>
                <w:lang w:val="tr-TR"/>
              </w:rPr>
            </w:pPr>
          </w:p>
        </w:tc>
        <w:tc>
          <w:tcPr>
            <w:tcW w:w="7701" w:type="dxa"/>
            <w:gridSpan w:val="5"/>
          </w:tcPr>
          <w:p w:rsidR="00EA3183" w:rsidRPr="00737C59" w:rsidRDefault="00EA3183" w:rsidP="00330DED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4. Bu Yasa, </w:t>
            </w:r>
            <w:r w:rsidR="00330DED">
              <w:rPr>
                <w:sz w:val="24"/>
                <w:szCs w:val="24"/>
                <w:lang w:val="tr-TR"/>
              </w:rPr>
              <w:t xml:space="preserve">1 Ocak 2024 tarihinden </w:t>
            </w:r>
            <w:r>
              <w:rPr>
                <w:sz w:val="24"/>
                <w:szCs w:val="24"/>
                <w:lang w:val="tr-TR"/>
              </w:rPr>
              <w:t xml:space="preserve"> başlayarak yürürlüğe girer. </w:t>
            </w:r>
            <w:r w:rsidRPr="00447FEA">
              <w:rPr>
                <w:sz w:val="24"/>
                <w:szCs w:val="24"/>
                <w:lang w:val="tr-TR"/>
              </w:rPr>
              <w:t xml:space="preserve"> </w:t>
            </w:r>
          </w:p>
        </w:tc>
      </w:tr>
    </w:tbl>
    <w:p w:rsidR="00EA3183" w:rsidRDefault="00EA3183" w:rsidP="00EA3183"/>
    <w:p w:rsidR="004508F0" w:rsidRDefault="004508F0">
      <w:pPr>
        <w:spacing w:after="200" w:line="276" w:lineRule="auto"/>
        <w:rPr>
          <w:sz w:val="26"/>
          <w:szCs w:val="26"/>
          <w:lang w:val="tr-TR"/>
        </w:rPr>
      </w:pPr>
    </w:p>
    <w:sectPr w:rsidR="004508F0" w:rsidSect="00F60DC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A1" w:rsidRDefault="004E24A1" w:rsidP="000B04A8">
      <w:r>
        <w:separator/>
      </w:r>
    </w:p>
  </w:endnote>
  <w:endnote w:type="continuationSeparator" w:id="0">
    <w:p w:rsidR="004E24A1" w:rsidRDefault="004E24A1" w:rsidP="000B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42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71A4" w:rsidRDefault="003671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1A4" w:rsidRDefault="00367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A1" w:rsidRDefault="004E24A1" w:rsidP="000B04A8">
      <w:r>
        <w:separator/>
      </w:r>
    </w:p>
  </w:footnote>
  <w:footnote w:type="continuationSeparator" w:id="0">
    <w:p w:rsidR="004E24A1" w:rsidRDefault="004E24A1" w:rsidP="000B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E28"/>
    <w:multiLevelType w:val="hybridMultilevel"/>
    <w:tmpl w:val="F5C8C2EA"/>
    <w:lvl w:ilvl="0" w:tplc="C98CA95E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5D79A7"/>
    <w:multiLevelType w:val="hybridMultilevel"/>
    <w:tmpl w:val="99944FC6"/>
    <w:lvl w:ilvl="0" w:tplc="C0B445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36328"/>
    <w:multiLevelType w:val="hybridMultilevel"/>
    <w:tmpl w:val="557E59A4"/>
    <w:lvl w:ilvl="0" w:tplc="2DD22F12">
      <w:start w:val="1"/>
      <w:numFmt w:val="lowerLetter"/>
      <w:lvlText w:val="%1.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28CE338D"/>
    <w:multiLevelType w:val="hybridMultilevel"/>
    <w:tmpl w:val="5896E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5C92"/>
    <w:multiLevelType w:val="hybridMultilevel"/>
    <w:tmpl w:val="C24C7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2FC9"/>
    <w:multiLevelType w:val="hybridMultilevel"/>
    <w:tmpl w:val="754C678E"/>
    <w:lvl w:ilvl="0" w:tplc="9976EA84">
      <w:start w:val="1"/>
      <w:numFmt w:val="decimal"/>
      <w:lvlText w:val="(%1)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68528B"/>
    <w:multiLevelType w:val="hybridMultilevel"/>
    <w:tmpl w:val="0EA2E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D26FF"/>
    <w:multiLevelType w:val="hybridMultilevel"/>
    <w:tmpl w:val="7E4C9A7A"/>
    <w:lvl w:ilvl="0" w:tplc="0FAC9408">
      <w:start w:val="1"/>
      <w:numFmt w:val="decimal"/>
      <w:lvlText w:val="(%1)"/>
      <w:lvlJc w:val="left"/>
      <w:pPr>
        <w:ind w:left="7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FA"/>
    <w:rsid w:val="00000E74"/>
    <w:rsid w:val="00002A55"/>
    <w:rsid w:val="00012E08"/>
    <w:rsid w:val="000370E9"/>
    <w:rsid w:val="000438C1"/>
    <w:rsid w:val="0004638F"/>
    <w:rsid w:val="00053897"/>
    <w:rsid w:val="000613E0"/>
    <w:rsid w:val="00091F42"/>
    <w:rsid w:val="000B04A8"/>
    <w:rsid w:val="000B1008"/>
    <w:rsid w:val="000D17EB"/>
    <w:rsid w:val="000F5B0F"/>
    <w:rsid w:val="001353B0"/>
    <w:rsid w:val="001415BF"/>
    <w:rsid w:val="00142322"/>
    <w:rsid w:val="00163C6E"/>
    <w:rsid w:val="001649B9"/>
    <w:rsid w:val="00165448"/>
    <w:rsid w:val="00166501"/>
    <w:rsid w:val="00182F89"/>
    <w:rsid w:val="001902C4"/>
    <w:rsid w:val="00192B72"/>
    <w:rsid w:val="00197D68"/>
    <w:rsid w:val="001B4C2D"/>
    <w:rsid w:val="001C0926"/>
    <w:rsid w:val="001C7675"/>
    <w:rsid w:val="001E07A4"/>
    <w:rsid w:val="001E1CD3"/>
    <w:rsid w:val="001E5457"/>
    <w:rsid w:val="001F4520"/>
    <w:rsid w:val="001F6BFA"/>
    <w:rsid w:val="002144A2"/>
    <w:rsid w:val="00214565"/>
    <w:rsid w:val="00227FE4"/>
    <w:rsid w:val="00233310"/>
    <w:rsid w:val="002334D6"/>
    <w:rsid w:val="00241F03"/>
    <w:rsid w:val="002532FB"/>
    <w:rsid w:val="00256035"/>
    <w:rsid w:val="0026560A"/>
    <w:rsid w:val="00274AD9"/>
    <w:rsid w:val="00282629"/>
    <w:rsid w:val="00297BDE"/>
    <w:rsid w:val="002A60E7"/>
    <w:rsid w:val="002C28F3"/>
    <w:rsid w:val="002E7D4F"/>
    <w:rsid w:val="002F108D"/>
    <w:rsid w:val="002F2AD3"/>
    <w:rsid w:val="00305517"/>
    <w:rsid w:val="00311FE8"/>
    <w:rsid w:val="00322792"/>
    <w:rsid w:val="00326A55"/>
    <w:rsid w:val="00330DED"/>
    <w:rsid w:val="00355EE4"/>
    <w:rsid w:val="0035746D"/>
    <w:rsid w:val="00361897"/>
    <w:rsid w:val="003671A4"/>
    <w:rsid w:val="00367D91"/>
    <w:rsid w:val="00373C62"/>
    <w:rsid w:val="00397186"/>
    <w:rsid w:val="00397801"/>
    <w:rsid w:val="00397FD3"/>
    <w:rsid w:val="003D2240"/>
    <w:rsid w:val="003E13EB"/>
    <w:rsid w:val="003F1CA8"/>
    <w:rsid w:val="003F31DE"/>
    <w:rsid w:val="003F7E72"/>
    <w:rsid w:val="00432944"/>
    <w:rsid w:val="00433124"/>
    <w:rsid w:val="00441A92"/>
    <w:rsid w:val="00441F6D"/>
    <w:rsid w:val="004508F0"/>
    <w:rsid w:val="00450F47"/>
    <w:rsid w:val="00473C29"/>
    <w:rsid w:val="00494F4A"/>
    <w:rsid w:val="00495C36"/>
    <w:rsid w:val="00496517"/>
    <w:rsid w:val="004A13F7"/>
    <w:rsid w:val="004B199D"/>
    <w:rsid w:val="004D3D86"/>
    <w:rsid w:val="004E24A1"/>
    <w:rsid w:val="00510EDA"/>
    <w:rsid w:val="0051298A"/>
    <w:rsid w:val="005247F9"/>
    <w:rsid w:val="00531D29"/>
    <w:rsid w:val="00533BB5"/>
    <w:rsid w:val="005459AF"/>
    <w:rsid w:val="005464E0"/>
    <w:rsid w:val="005729B7"/>
    <w:rsid w:val="00576A5E"/>
    <w:rsid w:val="005B0BDF"/>
    <w:rsid w:val="005B2817"/>
    <w:rsid w:val="005C2D3B"/>
    <w:rsid w:val="005C7434"/>
    <w:rsid w:val="005D638A"/>
    <w:rsid w:val="005E3F52"/>
    <w:rsid w:val="005E54AD"/>
    <w:rsid w:val="005F73E0"/>
    <w:rsid w:val="006003B5"/>
    <w:rsid w:val="00602AC1"/>
    <w:rsid w:val="00610579"/>
    <w:rsid w:val="00623275"/>
    <w:rsid w:val="00636550"/>
    <w:rsid w:val="00652F3A"/>
    <w:rsid w:val="00653053"/>
    <w:rsid w:val="00653CCC"/>
    <w:rsid w:val="00656099"/>
    <w:rsid w:val="006579B9"/>
    <w:rsid w:val="0066750F"/>
    <w:rsid w:val="006818F6"/>
    <w:rsid w:val="006A1FD1"/>
    <w:rsid w:val="006B35FB"/>
    <w:rsid w:val="006B7DF1"/>
    <w:rsid w:val="006F0B03"/>
    <w:rsid w:val="006F1153"/>
    <w:rsid w:val="00711B40"/>
    <w:rsid w:val="00713136"/>
    <w:rsid w:val="00731D3C"/>
    <w:rsid w:val="00734FD9"/>
    <w:rsid w:val="0075088B"/>
    <w:rsid w:val="00754B98"/>
    <w:rsid w:val="00772160"/>
    <w:rsid w:val="0078316D"/>
    <w:rsid w:val="007900E9"/>
    <w:rsid w:val="00792037"/>
    <w:rsid w:val="007976D5"/>
    <w:rsid w:val="007A09D5"/>
    <w:rsid w:val="007B1ECC"/>
    <w:rsid w:val="007D1771"/>
    <w:rsid w:val="007D4653"/>
    <w:rsid w:val="008004B7"/>
    <w:rsid w:val="00803D4C"/>
    <w:rsid w:val="00810AD9"/>
    <w:rsid w:val="008214E8"/>
    <w:rsid w:val="008470F5"/>
    <w:rsid w:val="0084787B"/>
    <w:rsid w:val="00860F49"/>
    <w:rsid w:val="00867EBB"/>
    <w:rsid w:val="0087566D"/>
    <w:rsid w:val="008A166E"/>
    <w:rsid w:val="008A21C9"/>
    <w:rsid w:val="008A3219"/>
    <w:rsid w:val="008B0EB4"/>
    <w:rsid w:val="008B1A1D"/>
    <w:rsid w:val="008B2ADD"/>
    <w:rsid w:val="008D1954"/>
    <w:rsid w:val="008F1BA0"/>
    <w:rsid w:val="008F2144"/>
    <w:rsid w:val="00903988"/>
    <w:rsid w:val="00910237"/>
    <w:rsid w:val="00911325"/>
    <w:rsid w:val="00911345"/>
    <w:rsid w:val="00911820"/>
    <w:rsid w:val="00911B3A"/>
    <w:rsid w:val="00921A60"/>
    <w:rsid w:val="009226E6"/>
    <w:rsid w:val="00932D14"/>
    <w:rsid w:val="00950635"/>
    <w:rsid w:val="00960FD5"/>
    <w:rsid w:val="0096585A"/>
    <w:rsid w:val="00975CBC"/>
    <w:rsid w:val="00980C89"/>
    <w:rsid w:val="0098376B"/>
    <w:rsid w:val="009B4D0D"/>
    <w:rsid w:val="009B73E2"/>
    <w:rsid w:val="009B7463"/>
    <w:rsid w:val="009C12D5"/>
    <w:rsid w:val="009C35F3"/>
    <w:rsid w:val="009C5060"/>
    <w:rsid w:val="009D0ADE"/>
    <w:rsid w:val="009D6EE6"/>
    <w:rsid w:val="00A02F29"/>
    <w:rsid w:val="00A1563E"/>
    <w:rsid w:val="00A249AA"/>
    <w:rsid w:val="00A424EF"/>
    <w:rsid w:val="00A9650F"/>
    <w:rsid w:val="00A97453"/>
    <w:rsid w:val="00AA42EC"/>
    <w:rsid w:val="00AA5795"/>
    <w:rsid w:val="00AC1746"/>
    <w:rsid w:val="00AC5F30"/>
    <w:rsid w:val="00AC6957"/>
    <w:rsid w:val="00AD6665"/>
    <w:rsid w:val="00AE22CE"/>
    <w:rsid w:val="00B03CEE"/>
    <w:rsid w:val="00B06072"/>
    <w:rsid w:val="00B1781D"/>
    <w:rsid w:val="00B46BE0"/>
    <w:rsid w:val="00B70E65"/>
    <w:rsid w:val="00B81855"/>
    <w:rsid w:val="00B8644B"/>
    <w:rsid w:val="00BB2159"/>
    <w:rsid w:val="00BB6365"/>
    <w:rsid w:val="00BD571F"/>
    <w:rsid w:val="00BE1A0D"/>
    <w:rsid w:val="00BE310E"/>
    <w:rsid w:val="00BF4CC6"/>
    <w:rsid w:val="00C0514D"/>
    <w:rsid w:val="00C12B63"/>
    <w:rsid w:val="00C333E9"/>
    <w:rsid w:val="00C357CB"/>
    <w:rsid w:val="00C429AA"/>
    <w:rsid w:val="00C466C2"/>
    <w:rsid w:val="00C64EB1"/>
    <w:rsid w:val="00C65BA5"/>
    <w:rsid w:val="00C66D48"/>
    <w:rsid w:val="00C71665"/>
    <w:rsid w:val="00CC311F"/>
    <w:rsid w:val="00CD3D81"/>
    <w:rsid w:val="00CF600A"/>
    <w:rsid w:val="00D02F4A"/>
    <w:rsid w:val="00D0531E"/>
    <w:rsid w:val="00D15167"/>
    <w:rsid w:val="00D34888"/>
    <w:rsid w:val="00D353A8"/>
    <w:rsid w:val="00D5319B"/>
    <w:rsid w:val="00D66221"/>
    <w:rsid w:val="00DB6CF0"/>
    <w:rsid w:val="00DC0932"/>
    <w:rsid w:val="00DC1DBD"/>
    <w:rsid w:val="00DC2844"/>
    <w:rsid w:val="00DD2D09"/>
    <w:rsid w:val="00DD7AFB"/>
    <w:rsid w:val="00DF262E"/>
    <w:rsid w:val="00DF7FFC"/>
    <w:rsid w:val="00E02869"/>
    <w:rsid w:val="00E16E79"/>
    <w:rsid w:val="00E40A83"/>
    <w:rsid w:val="00E415E5"/>
    <w:rsid w:val="00E51B55"/>
    <w:rsid w:val="00EA3183"/>
    <w:rsid w:val="00EB0B54"/>
    <w:rsid w:val="00EB116A"/>
    <w:rsid w:val="00EB1728"/>
    <w:rsid w:val="00EB2054"/>
    <w:rsid w:val="00EC445D"/>
    <w:rsid w:val="00EC5CE5"/>
    <w:rsid w:val="00ED0E5D"/>
    <w:rsid w:val="00ED1557"/>
    <w:rsid w:val="00EE0D5E"/>
    <w:rsid w:val="00F11E3C"/>
    <w:rsid w:val="00F400A2"/>
    <w:rsid w:val="00F45723"/>
    <w:rsid w:val="00F60DCF"/>
    <w:rsid w:val="00F678D3"/>
    <w:rsid w:val="00F85D0E"/>
    <w:rsid w:val="00F85DCF"/>
    <w:rsid w:val="00F924C5"/>
    <w:rsid w:val="00FD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4A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B0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4A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C35F3"/>
    <w:pPr>
      <w:ind w:left="720"/>
      <w:contextualSpacing/>
    </w:pPr>
  </w:style>
  <w:style w:type="table" w:styleId="TableGrid">
    <w:name w:val="Table Grid"/>
    <w:basedOn w:val="TableNormal"/>
    <w:uiPriority w:val="39"/>
    <w:rsid w:val="009C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68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uiPriority w:val="99"/>
    <w:semiHidden/>
    <w:unhideWhenUsed/>
    <w:rsid w:val="00450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F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F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4A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B0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4A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C35F3"/>
    <w:pPr>
      <w:ind w:left="720"/>
      <w:contextualSpacing/>
    </w:pPr>
  </w:style>
  <w:style w:type="table" w:styleId="TableGrid">
    <w:name w:val="Table Grid"/>
    <w:basedOn w:val="TableNormal"/>
    <w:uiPriority w:val="39"/>
    <w:rsid w:val="009C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68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uiPriority w:val="99"/>
    <w:semiHidden/>
    <w:unhideWhenUsed/>
    <w:rsid w:val="00450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8F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8F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Demirgil</dc:creator>
  <cp:lastModifiedBy>gurkan artun</cp:lastModifiedBy>
  <cp:revision>3</cp:revision>
  <cp:lastPrinted>2023-01-23T09:15:00Z</cp:lastPrinted>
  <dcterms:created xsi:type="dcterms:W3CDTF">2023-04-24T14:31:00Z</dcterms:created>
  <dcterms:modified xsi:type="dcterms:W3CDTF">2023-04-24T14:34:00Z</dcterms:modified>
</cp:coreProperties>
</file>