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F8" w:rsidRDefault="002170F8" w:rsidP="00730A65"/>
    <w:p w:rsidR="002170F8" w:rsidRDefault="002170F8" w:rsidP="00730A65"/>
    <w:tbl>
      <w:tblPr>
        <w:tblStyle w:val="TableGrid1"/>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8"/>
        <w:gridCol w:w="14"/>
        <w:gridCol w:w="425"/>
        <w:gridCol w:w="567"/>
        <w:gridCol w:w="283"/>
        <w:gridCol w:w="709"/>
        <w:gridCol w:w="567"/>
        <w:gridCol w:w="6379"/>
      </w:tblGrid>
      <w:tr w:rsidR="002170F8" w:rsidRPr="002170F8" w:rsidTr="00ED2F9D">
        <w:tc>
          <w:tcPr>
            <w:tcW w:w="10632" w:type="dxa"/>
            <w:gridSpan w:val="8"/>
          </w:tcPr>
          <w:p w:rsidR="00250144" w:rsidRDefault="00250144" w:rsidP="00250144">
            <w:pPr>
              <w:jc w:val="both"/>
              <w:rPr>
                <w:sz w:val="24"/>
                <w:szCs w:val="24"/>
                <w:lang w:val="tr-TR"/>
              </w:rPr>
            </w:pPr>
            <w:r w:rsidRPr="00250144">
              <w:rPr>
                <w:sz w:val="24"/>
                <w:szCs w:val="24"/>
                <w:lang w:val="tr-TR"/>
              </w:rPr>
              <w:t xml:space="preserve">Kuzey Kıbrıs Türk Cumhuriyeti Cumhuriyet Meclisi’nin </w:t>
            </w:r>
            <w:r>
              <w:rPr>
                <w:sz w:val="24"/>
                <w:szCs w:val="24"/>
                <w:lang w:val="tr-TR"/>
              </w:rPr>
              <w:t xml:space="preserve">26 Haziran 2023 </w:t>
            </w:r>
            <w:r w:rsidRPr="00250144">
              <w:rPr>
                <w:sz w:val="24"/>
                <w:szCs w:val="24"/>
                <w:lang w:val="tr-TR"/>
              </w:rPr>
              <w:t xml:space="preserve">tarihli </w:t>
            </w:r>
            <w:r>
              <w:rPr>
                <w:sz w:val="24"/>
                <w:szCs w:val="24"/>
                <w:lang w:val="tr-TR"/>
              </w:rPr>
              <w:t>Elliyedinci Birleşiminde Oybirliğiyle</w:t>
            </w:r>
            <w:r w:rsidRPr="00250144">
              <w:rPr>
                <w:sz w:val="24"/>
                <w:szCs w:val="24"/>
                <w:lang w:val="tr-TR"/>
              </w:rPr>
              <w:t xml:space="preserve"> kabul olunan</w:t>
            </w:r>
            <w:r>
              <w:rPr>
                <w:sz w:val="24"/>
                <w:szCs w:val="24"/>
                <w:lang w:val="tr-TR"/>
              </w:rPr>
              <w:t xml:space="preserve"> “Kıbrıs Vakıflar </w:t>
            </w:r>
            <w:r w:rsidRPr="00250144">
              <w:rPr>
                <w:sz w:val="24"/>
                <w:szCs w:val="24"/>
                <w:lang w:val="tr-TR"/>
              </w:rPr>
              <w:t>İdaresi Kiracılarının Birikmiş Kira ve Ge</w:t>
            </w:r>
            <w:r>
              <w:rPr>
                <w:sz w:val="24"/>
                <w:szCs w:val="24"/>
                <w:lang w:val="tr-TR"/>
              </w:rPr>
              <w:t xml:space="preserve">cikme Zammı Borçlarının Tahsili </w:t>
            </w:r>
            <w:r w:rsidRPr="00250144">
              <w:rPr>
                <w:sz w:val="24"/>
                <w:szCs w:val="24"/>
                <w:lang w:val="tr-TR"/>
              </w:rPr>
              <w:t xml:space="preserve">ile İlgili Kuralların Düzenlenmesi (Geçici Kurallar) (Değişiklik) </w:t>
            </w:r>
            <w:r>
              <w:rPr>
                <w:sz w:val="24"/>
                <w:szCs w:val="24"/>
                <w:lang w:val="tr-TR"/>
              </w:rPr>
              <w:t>Yasası” Anayasanın</w:t>
            </w:r>
            <w:r w:rsidRPr="00250144">
              <w:rPr>
                <w:sz w:val="24"/>
                <w:szCs w:val="24"/>
                <w:lang w:val="tr-TR"/>
              </w:rPr>
              <w:t xml:space="preserve"> 94’üncü maddesinin (l)’inci fıkrası gereğince Kuzey Kıbrıs Türk Cumhuriyeti Cumhurbaşkanı tarafından Resmi Gazete’de yayımlanmak suretiyle ilan olunur.</w:t>
            </w:r>
          </w:p>
          <w:p w:rsidR="00250144" w:rsidRDefault="00250144" w:rsidP="002170F8">
            <w:pPr>
              <w:jc w:val="center"/>
              <w:rPr>
                <w:sz w:val="24"/>
                <w:szCs w:val="24"/>
                <w:lang w:val="tr-TR"/>
              </w:rPr>
            </w:pPr>
          </w:p>
          <w:p w:rsidR="00250144" w:rsidRDefault="00250144" w:rsidP="002170F8">
            <w:pPr>
              <w:jc w:val="center"/>
              <w:rPr>
                <w:sz w:val="24"/>
                <w:szCs w:val="24"/>
                <w:lang w:val="tr-TR"/>
              </w:rPr>
            </w:pPr>
            <w:bookmarkStart w:id="0" w:name="_GoBack"/>
            <w:bookmarkEnd w:id="0"/>
          </w:p>
          <w:p w:rsidR="00250144" w:rsidRDefault="00250144" w:rsidP="002170F8">
            <w:pPr>
              <w:jc w:val="center"/>
              <w:rPr>
                <w:sz w:val="24"/>
                <w:szCs w:val="24"/>
                <w:lang w:val="tr-TR"/>
              </w:rPr>
            </w:pPr>
            <w:r w:rsidRPr="00250144">
              <w:rPr>
                <w:sz w:val="24"/>
                <w:szCs w:val="24"/>
                <w:lang w:val="tr-TR"/>
              </w:rPr>
              <w:t>Sayı : 37/2023</w:t>
            </w:r>
          </w:p>
          <w:p w:rsidR="00250144" w:rsidRDefault="00250144" w:rsidP="002170F8">
            <w:pPr>
              <w:jc w:val="center"/>
              <w:rPr>
                <w:sz w:val="24"/>
                <w:szCs w:val="24"/>
                <w:lang w:val="tr-TR"/>
              </w:rPr>
            </w:pPr>
          </w:p>
          <w:p w:rsidR="002170F8" w:rsidRPr="002170F8" w:rsidRDefault="002170F8" w:rsidP="002170F8">
            <w:pPr>
              <w:jc w:val="center"/>
              <w:rPr>
                <w:sz w:val="24"/>
                <w:szCs w:val="24"/>
                <w:lang w:val="tr-TR"/>
              </w:rPr>
            </w:pPr>
            <w:r w:rsidRPr="002170F8">
              <w:rPr>
                <w:sz w:val="24"/>
                <w:szCs w:val="24"/>
                <w:lang w:val="tr-TR"/>
              </w:rPr>
              <w:t xml:space="preserve">KIBRIS VAKIFLAR İDARESİ KİRACILARININ BİRİKMİŞ KİRA VE GECİKME ZAMMI BORÇLARININ TAHSİLİ İLE İLGİLİ KURALLARIN DÜZENLENMESİ </w:t>
            </w:r>
          </w:p>
          <w:p w:rsidR="002170F8" w:rsidRPr="002170F8" w:rsidRDefault="002170F8" w:rsidP="002170F8">
            <w:pPr>
              <w:jc w:val="center"/>
              <w:rPr>
                <w:sz w:val="24"/>
                <w:szCs w:val="24"/>
                <w:lang w:val="tr-TR"/>
              </w:rPr>
            </w:pPr>
            <w:r w:rsidRPr="002170F8">
              <w:rPr>
                <w:sz w:val="24"/>
                <w:szCs w:val="24"/>
                <w:lang w:val="tr-TR"/>
              </w:rPr>
              <w:t>(GEÇİCİ KURAL</w:t>
            </w:r>
            <w:r w:rsidR="00EF7D2B">
              <w:rPr>
                <w:sz w:val="24"/>
                <w:szCs w:val="24"/>
                <w:lang w:val="tr-TR"/>
              </w:rPr>
              <w:t>LAR)  (DEĞİŞİKLİK) YASASI</w:t>
            </w:r>
          </w:p>
          <w:p w:rsidR="002170F8" w:rsidRPr="002170F8" w:rsidRDefault="002170F8" w:rsidP="002170F8">
            <w:pPr>
              <w:jc w:val="center"/>
              <w:rPr>
                <w:sz w:val="24"/>
                <w:szCs w:val="24"/>
                <w:lang w:val="tr-TR"/>
              </w:rPr>
            </w:pPr>
          </w:p>
        </w:tc>
      </w:tr>
      <w:tr w:rsidR="002170F8" w:rsidRPr="002170F8" w:rsidTr="00ED2F9D">
        <w:tc>
          <w:tcPr>
            <w:tcW w:w="1702" w:type="dxa"/>
            <w:gridSpan w:val="2"/>
          </w:tcPr>
          <w:p w:rsidR="002170F8" w:rsidRPr="002170F8" w:rsidRDefault="002170F8" w:rsidP="002170F8">
            <w:pPr>
              <w:rPr>
                <w:sz w:val="24"/>
                <w:szCs w:val="24"/>
                <w:lang w:val="tr-TR"/>
              </w:rPr>
            </w:pPr>
          </w:p>
        </w:tc>
        <w:tc>
          <w:tcPr>
            <w:tcW w:w="8930" w:type="dxa"/>
            <w:gridSpan w:val="6"/>
            <w:hideMark/>
          </w:tcPr>
          <w:p w:rsidR="002170F8" w:rsidRPr="002170F8" w:rsidRDefault="00F30662" w:rsidP="002170F8">
            <w:pPr>
              <w:jc w:val="both"/>
              <w:rPr>
                <w:sz w:val="24"/>
                <w:szCs w:val="24"/>
                <w:lang w:val="tr-TR"/>
              </w:rPr>
            </w:pPr>
            <w:r>
              <w:rPr>
                <w:sz w:val="24"/>
                <w:szCs w:val="24"/>
                <w:lang w:val="tr-TR"/>
              </w:rPr>
              <w:t xml:space="preserve">               </w:t>
            </w:r>
            <w:r w:rsidR="00435ECA">
              <w:rPr>
                <w:sz w:val="24"/>
                <w:szCs w:val="24"/>
                <w:lang w:val="tr-TR"/>
              </w:rPr>
              <w:t xml:space="preserve">      </w:t>
            </w:r>
            <w:r w:rsidR="002170F8" w:rsidRPr="002170F8">
              <w:rPr>
                <w:sz w:val="24"/>
                <w:szCs w:val="24"/>
                <w:lang w:val="tr-TR"/>
              </w:rPr>
              <w:t>Kuzey Kıbrıs Türk Cumhuriyeti Cumhuriyet Meclisi aşağıdaki Yasayı yapar:</w:t>
            </w:r>
          </w:p>
        </w:tc>
      </w:tr>
      <w:tr w:rsidR="002170F8" w:rsidRPr="002170F8" w:rsidTr="00ED2F9D">
        <w:tc>
          <w:tcPr>
            <w:tcW w:w="1702" w:type="dxa"/>
            <w:gridSpan w:val="2"/>
          </w:tcPr>
          <w:p w:rsidR="002170F8" w:rsidRPr="002170F8" w:rsidRDefault="002170F8" w:rsidP="002170F8">
            <w:pPr>
              <w:rPr>
                <w:sz w:val="24"/>
                <w:szCs w:val="24"/>
                <w:lang w:val="tr-TR"/>
              </w:rPr>
            </w:pPr>
          </w:p>
        </w:tc>
        <w:tc>
          <w:tcPr>
            <w:tcW w:w="8930" w:type="dxa"/>
            <w:gridSpan w:val="6"/>
          </w:tcPr>
          <w:p w:rsidR="002170F8" w:rsidRPr="002170F8" w:rsidRDefault="002170F8" w:rsidP="002170F8">
            <w:pPr>
              <w:rPr>
                <w:sz w:val="24"/>
                <w:szCs w:val="24"/>
                <w:lang w:val="tr-TR"/>
              </w:rPr>
            </w:pPr>
          </w:p>
        </w:tc>
      </w:tr>
      <w:tr w:rsidR="002170F8" w:rsidRPr="002170F8" w:rsidTr="00ED2F9D">
        <w:tc>
          <w:tcPr>
            <w:tcW w:w="1702" w:type="dxa"/>
            <w:gridSpan w:val="2"/>
            <w:hideMark/>
          </w:tcPr>
          <w:p w:rsidR="002170F8" w:rsidRPr="002170F8" w:rsidRDefault="002170F8" w:rsidP="002170F8">
            <w:pPr>
              <w:rPr>
                <w:sz w:val="24"/>
                <w:szCs w:val="24"/>
                <w:lang w:val="tr-TR"/>
              </w:rPr>
            </w:pPr>
            <w:r w:rsidRPr="002170F8">
              <w:rPr>
                <w:sz w:val="24"/>
                <w:szCs w:val="24"/>
                <w:lang w:val="tr-TR"/>
              </w:rPr>
              <w:t>Kısa İsim</w:t>
            </w:r>
          </w:p>
          <w:p w:rsidR="002170F8" w:rsidRPr="002170F8" w:rsidRDefault="002170F8" w:rsidP="002170F8">
            <w:pPr>
              <w:rPr>
                <w:sz w:val="24"/>
                <w:szCs w:val="24"/>
                <w:lang w:val="tr-TR"/>
              </w:rPr>
            </w:pPr>
            <w:r w:rsidRPr="002170F8">
              <w:rPr>
                <w:sz w:val="24"/>
                <w:szCs w:val="24"/>
                <w:lang w:val="tr-TR"/>
              </w:rPr>
              <w:t>5/2021</w:t>
            </w:r>
          </w:p>
        </w:tc>
        <w:tc>
          <w:tcPr>
            <w:tcW w:w="8930" w:type="dxa"/>
            <w:gridSpan w:val="6"/>
          </w:tcPr>
          <w:p w:rsidR="002170F8" w:rsidRPr="002170F8" w:rsidRDefault="002170F8" w:rsidP="002170F8">
            <w:pPr>
              <w:jc w:val="both"/>
              <w:rPr>
                <w:sz w:val="24"/>
                <w:szCs w:val="24"/>
                <w:lang w:val="tr-TR"/>
              </w:rPr>
            </w:pPr>
            <w:r w:rsidRPr="002170F8">
              <w:rPr>
                <w:sz w:val="24"/>
                <w:szCs w:val="24"/>
                <w:lang w:val="tr-TR"/>
              </w:rPr>
              <w:t>1</w:t>
            </w:r>
            <w:r w:rsidRPr="002170F8">
              <w:rPr>
                <w:color w:val="FF0000"/>
                <w:sz w:val="24"/>
                <w:szCs w:val="24"/>
                <w:lang w:val="tr-TR"/>
              </w:rPr>
              <w:t>.</w:t>
            </w:r>
            <w:r w:rsidRPr="002170F8">
              <w:rPr>
                <w:rFonts w:eastAsia="Calibri"/>
                <w:color w:val="FF0000"/>
                <w:sz w:val="24"/>
                <w:szCs w:val="24"/>
                <w:lang w:val="tr-TR"/>
              </w:rPr>
              <w:t xml:space="preserve"> </w:t>
            </w:r>
            <w:r w:rsidRPr="002170F8">
              <w:rPr>
                <w:rFonts w:eastAsia="Calibri"/>
                <w:sz w:val="24"/>
                <w:szCs w:val="24"/>
                <w:lang w:val="tr-TR"/>
              </w:rPr>
              <w:t>Bu Yasa, Kıbrıs Vakıflar İdaresi Kiracılarının Birikmiş Kira ve Gec</w:t>
            </w:r>
            <w:r w:rsidR="00F008CC">
              <w:rPr>
                <w:rFonts w:eastAsia="Calibri"/>
                <w:sz w:val="24"/>
                <w:szCs w:val="24"/>
                <w:lang w:val="tr-TR"/>
              </w:rPr>
              <w:t>ikme Zammı Borçlarının Tahsili İ</w:t>
            </w:r>
            <w:r w:rsidRPr="002170F8">
              <w:rPr>
                <w:rFonts w:eastAsia="Calibri"/>
                <w:sz w:val="24"/>
                <w:szCs w:val="24"/>
                <w:lang w:val="tr-TR"/>
              </w:rPr>
              <w:t>le İlgili Kuralların Düzenlenmesi (Geçici Kurallar) (Değişiklik) Yasası olarak isimlendirilir ve aşağıda “Esas Yasa” olarak anılan Kıbrıs Vakıflar İdaresi Kiracılarının Birikmiş Kira ve Gec</w:t>
            </w:r>
            <w:r w:rsidR="00F008CC">
              <w:rPr>
                <w:rFonts w:eastAsia="Calibri"/>
                <w:sz w:val="24"/>
                <w:szCs w:val="24"/>
                <w:lang w:val="tr-TR"/>
              </w:rPr>
              <w:t>ikme Zammı Borçlarının Tahsili İ</w:t>
            </w:r>
            <w:r w:rsidRPr="002170F8">
              <w:rPr>
                <w:rFonts w:eastAsia="Calibri"/>
                <w:sz w:val="24"/>
                <w:szCs w:val="24"/>
                <w:lang w:val="tr-TR"/>
              </w:rPr>
              <w:t>le İlgili Kuralların Düzenlenmesi (Geçici Kurallar) Yasası ile birlikte okunur.</w:t>
            </w:r>
          </w:p>
        </w:tc>
      </w:tr>
      <w:tr w:rsidR="002170F8" w:rsidRPr="002170F8" w:rsidTr="00ED2F9D">
        <w:tc>
          <w:tcPr>
            <w:tcW w:w="1702" w:type="dxa"/>
            <w:gridSpan w:val="2"/>
          </w:tcPr>
          <w:p w:rsidR="002170F8" w:rsidRPr="002170F8" w:rsidRDefault="002170F8" w:rsidP="002170F8">
            <w:pPr>
              <w:rPr>
                <w:sz w:val="24"/>
                <w:szCs w:val="24"/>
                <w:lang w:val="tr-TR"/>
              </w:rPr>
            </w:pPr>
          </w:p>
        </w:tc>
        <w:tc>
          <w:tcPr>
            <w:tcW w:w="8930" w:type="dxa"/>
            <w:gridSpan w:val="6"/>
          </w:tcPr>
          <w:p w:rsidR="002170F8" w:rsidRPr="002170F8" w:rsidRDefault="002170F8" w:rsidP="002170F8">
            <w:pPr>
              <w:jc w:val="both"/>
              <w:rPr>
                <w:sz w:val="24"/>
                <w:szCs w:val="24"/>
                <w:lang w:val="tr-TR"/>
              </w:rPr>
            </w:pPr>
          </w:p>
        </w:tc>
      </w:tr>
      <w:tr w:rsidR="002170F8" w:rsidRPr="002170F8" w:rsidTr="00ED2F9D">
        <w:tc>
          <w:tcPr>
            <w:tcW w:w="1702" w:type="dxa"/>
            <w:gridSpan w:val="2"/>
            <w:vMerge w:val="restart"/>
          </w:tcPr>
          <w:p w:rsidR="002170F8" w:rsidRPr="002170F8" w:rsidRDefault="002170F8" w:rsidP="002170F8">
            <w:pPr>
              <w:rPr>
                <w:sz w:val="24"/>
                <w:szCs w:val="24"/>
                <w:lang w:val="tr-TR"/>
              </w:rPr>
            </w:pPr>
            <w:r w:rsidRPr="002170F8">
              <w:rPr>
                <w:sz w:val="24"/>
                <w:szCs w:val="24"/>
                <w:lang w:val="tr-TR"/>
              </w:rPr>
              <w:t>Esas Yasanın 5’inci Maddesinin Değiştirilmesi</w:t>
            </w:r>
          </w:p>
        </w:tc>
        <w:tc>
          <w:tcPr>
            <w:tcW w:w="425" w:type="dxa"/>
            <w:hideMark/>
          </w:tcPr>
          <w:p w:rsidR="002170F8" w:rsidRPr="002170F8" w:rsidRDefault="002170F8" w:rsidP="002170F8">
            <w:pPr>
              <w:jc w:val="center"/>
              <w:rPr>
                <w:sz w:val="24"/>
                <w:szCs w:val="24"/>
                <w:lang w:val="tr-TR"/>
              </w:rPr>
            </w:pPr>
            <w:r w:rsidRPr="002170F8">
              <w:rPr>
                <w:sz w:val="24"/>
                <w:szCs w:val="24"/>
                <w:lang w:val="tr-TR"/>
              </w:rPr>
              <w:t>2.</w:t>
            </w:r>
          </w:p>
        </w:tc>
        <w:tc>
          <w:tcPr>
            <w:tcW w:w="567" w:type="dxa"/>
          </w:tcPr>
          <w:p w:rsidR="002170F8" w:rsidRPr="002170F8" w:rsidRDefault="002170F8" w:rsidP="002170F8">
            <w:pPr>
              <w:jc w:val="both"/>
              <w:rPr>
                <w:sz w:val="24"/>
                <w:szCs w:val="24"/>
                <w:lang w:val="tr-TR"/>
              </w:rPr>
            </w:pPr>
            <w:r w:rsidRPr="002170F8">
              <w:rPr>
                <w:sz w:val="24"/>
                <w:szCs w:val="24"/>
                <w:lang w:val="tr-TR"/>
              </w:rPr>
              <w:t xml:space="preserve">(1) </w:t>
            </w:r>
          </w:p>
        </w:tc>
        <w:tc>
          <w:tcPr>
            <w:tcW w:w="7938" w:type="dxa"/>
            <w:gridSpan w:val="4"/>
          </w:tcPr>
          <w:p w:rsidR="002170F8" w:rsidRPr="002170F8" w:rsidRDefault="002170F8" w:rsidP="002170F8">
            <w:pPr>
              <w:jc w:val="both"/>
              <w:rPr>
                <w:sz w:val="24"/>
                <w:szCs w:val="24"/>
                <w:lang w:val="tr-TR"/>
              </w:rPr>
            </w:pPr>
            <w:r w:rsidRPr="002170F8">
              <w:rPr>
                <w:sz w:val="24"/>
                <w:szCs w:val="24"/>
                <w:lang w:val="tr-TR"/>
              </w:rPr>
              <w:t>Esas Yasa, 5’inci maddesinin (1)’inci ve (2)’nci fıkraları kaldırılmak ve yerine sırasıyla aşağıdaki yeni (1)’inci ve (2)’nci fıkralar konmak suretiyle değiştirilir:</w:t>
            </w:r>
          </w:p>
          <w:p w:rsidR="002170F8" w:rsidRPr="002170F8" w:rsidRDefault="002170F8" w:rsidP="002170F8">
            <w:pPr>
              <w:jc w:val="both"/>
              <w:rPr>
                <w:sz w:val="24"/>
                <w:szCs w:val="24"/>
                <w:lang w:val="tr-TR"/>
              </w:rPr>
            </w:pPr>
          </w:p>
        </w:tc>
      </w:tr>
      <w:tr w:rsidR="002170F8" w:rsidRPr="002170F8" w:rsidTr="00ED2F9D">
        <w:tc>
          <w:tcPr>
            <w:tcW w:w="1702" w:type="dxa"/>
            <w:gridSpan w:val="2"/>
            <w:vMerge/>
            <w:vAlign w:val="center"/>
            <w:hideMark/>
          </w:tcPr>
          <w:p w:rsidR="002170F8" w:rsidRPr="002170F8" w:rsidRDefault="002170F8" w:rsidP="002170F8">
            <w:pPr>
              <w:rPr>
                <w:sz w:val="24"/>
                <w:szCs w:val="24"/>
                <w:lang w:val="tr-TR"/>
              </w:rPr>
            </w:pPr>
          </w:p>
        </w:tc>
        <w:tc>
          <w:tcPr>
            <w:tcW w:w="425" w:type="dxa"/>
            <w:vMerge w:val="restart"/>
          </w:tcPr>
          <w:p w:rsidR="002170F8" w:rsidRPr="002170F8" w:rsidRDefault="002170F8" w:rsidP="002170F8">
            <w:pPr>
              <w:jc w:val="center"/>
              <w:rPr>
                <w:sz w:val="24"/>
                <w:szCs w:val="24"/>
                <w:lang w:val="tr-TR"/>
              </w:rPr>
            </w:pPr>
          </w:p>
        </w:tc>
        <w:tc>
          <w:tcPr>
            <w:tcW w:w="567" w:type="dxa"/>
            <w:vMerge w:val="restart"/>
          </w:tcPr>
          <w:p w:rsidR="002170F8" w:rsidRPr="002170F8" w:rsidRDefault="002170F8" w:rsidP="002170F8">
            <w:pPr>
              <w:rPr>
                <w:sz w:val="24"/>
                <w:szCs w:val="24"/>
                <w:lang w:val="tr-TR"/>
              </w:rPr>
            </w:pPr>
          </w:p>
        </w:tc>
        <w:tc>
          <w:tcPr>
            <w:tcW w:w="283" w:type="dxa"/>
          </w:tcPr>
          <w:p w:rsidR="002170F8" w:rsidRPr="002170F8" w:rsidRDefault="002170F8" w:rsidP="002170F8">
            <w:pPr>
              <w:jc w:val="both"/>
              <w:rPr>
                <w:sz w:val="24"/>
                <w:szCs w:val="24"/>
                <w:lang w:val="tr-TR"/>
              </w:rPr>
            </w:pPr>
          </w:p>
        </w:tc>
        <w:tc>
          <w:tcPr>
            <w:tcW w:w="709" w:type="dxa"/>
          </w:tcPr>
          <w:p w:rsidR="002170F8" w:rsidRPr="002170F8" w:rsidRDefault="002170F8" w:rsidP="002170F8">
            <w:pPr>
              <w:jc w:val="both"/>
              <w:rPr>
                <w:sz w:val="24"/>
                <w:szCs w:val="24"/>
                <w:lang w:val="tr-TR"/>
              </w:rPr>
            </w:pPr>
            <w:r w:rsidRPr="002170F8">
              <w:rPr>
                <w:sz w:val="24"/>
                <w:szCs w:val="24"/>
                <w:lang w:val="tr-TR"/>
              </w:rPr>
              <w:t xml:space="preserve">“(1) </w:t>
            </w:r>
          </w:p>
        </w:tc>
        <w:tc>
          <w:tcPr>
            <w:tcW w:w="6946" w:type="dxa"/>
            <w:gridSpan w:val="2"/>
          </w:tcPr>
          <w:p w:rsidR="002170F8" w:rsidRPr="002170F8" w:rsidRDefault="002170F8" w:rsidP="002170F8">
            <w:pPr>
              <w:jc w:val="both"/>
              <w:rPr>
                <w:sz w:val="24"/>
                <w:szCs w:val="24"/>
                <w:lang w:val="tr-TR"/>
              </w:rPr>
            </w:pPr>
            <w:r w:rsidRPr="002170F8">
              <w:rPr>
                <w:sz w:val="24"/>
                <w:szCs w:val="24"/>
                <w:lang w:val="tr-TR"/>
              </w:rPr>
              <w:t>İdareye, birikmiş kira ve gecikme zammı borcu bulunan ve/veya hükümlü   borçlu ve/veya hakkında yasal işlem başlatılmış veya henüz yasal işlem başlatılmamış olan ve bu maddenin (2)’nci fıkrası kapsamı dışında kalan kiracılar, bu Yasanın yürürlüğe girdiği tarihten başlayarak 90 (doksan) gün içerisinde İdareye başvurmaları halinde ve davalı kiracıların dava masraflarını ödemeleri koşuluyla kira borçlarının;</w:t>
            </w:r>
          </w:p>
        </w:tc>
      </w:tr>
      <w:tr w:rsidR="002170F8" w:rsidRPr="002170F8" w:rsidTr="00ED2F9D">
        <w:tc>
          <w:tcPr>
            <w:tcW w:w="1702" w:type="dxa"/>
            <w:gridSpan w:val="2"/>
            <w:vMerge/>
            <w:vAlign w:val="center"/>
            <w:hideMark/>
          </w:tcPr>
          <w:p w:rsidR="002170F8" w:rsidRPr="002170F8" w:rsidRDefault="002170F8" w:rsidP="002170F8">
            <w:pPr>
              <w:rPr>
                <w:sz w:val="24"/>
                <w:szCs w:val="24"/>
                <w:lang w:val="tr-TR"/>
              </w:rPr>
            </w:pPr>
          </w:p>
        </w:tc>
        <w:tc>
          <w:tcPr>
            <w:tcW w:w="425" w:type="dxa"/>
            <w:vMerge/>
            <w:vAlign w:val="center"/>
            <w:hideMark/>
          </w:tcPr>
          <w:p w:rsidR="002170F8" w:rsidRPr="002170F8" w:rsidRDefault="002170F8" w:rsidP="002170F8">
            <w:pPr>
              <w:rPr>
                <w:sz w:val="24"/>
                <w:szCs w:val="24"/>
                <w:lang w:val="tr-TR"/>
              </w:rPr>
            </w:pPr>
          </w:p>
        </w:tc>
        <w:tc>
          <w:tcPr>
            <w:tcW w:w="567" w:type="dxa"/>
            <w:vMerge/>
            <w:vAlign w:val="center"/>
            <w:hideMark/>
          </w:tcPr>
          <w:p w:rsidR="002170F8" w:rsidRPr="002170F8" w:rsidRDefault="002170F8" w:rsidP="002170F8">
            <w:pPr>
              <w:rPr>
                <w:sz w:val="24"/>
                <w:szCs w:val="24"/>
                <w:lang w:val="tr-TR"/>
              </w:rPr>
            </w:pPr>
          </w:p>
        </w:tc>
        <w:tc>
          <w:tcPr>
            <w:tcW w:w="283" w:type="dxa"/>
          </w:tcPr>
          <w:p w:rsidR="002170F8" w:rsidRPr="002170F8" w:rsidRDefault="002170F8" w:rsidP="002170F8">
            <w:pPr>
              <w:jc w:val="both"/>
              <w:rPr>
                <w:sz w:val="24"/>
                <w:szCs w:val="24"/>
                <w:lang w:val="tr-TR"/>
              </w:rPr>
            </w:pPr>
          </w:p>
        </w:tc>
        <w:tc>
          <w:tcPr>
            <w:tcW w:w="709" w:type="dxa"/>
          </w:tcPr>
          <w:p w:rsidR="002170F8" w:rsidRPr="002170F8" w:rsidRDefault="002170F8" w:rsidP="002170F8">
            <w:pPr>
              <w:jc w:val="both"/>
              <w:rPr>
                <w:sz w:val="24"/>
                <w:szCs w:val="24"/>
                <w:lang w:val="tr-TR"/>
              </w:rPr>
            </w:pPr>
          </w:p>
        </w:tc>
        <w:tc>
          <w:tcPr>
            <w:tcW w:w="567" w:type="dxa"/>
          </w:tcPr>
          <w:p w:rsidR="002170F8" w:rsidRPr="002170F8" w:rsidRDefault="002170F8" w:rsidP="002170F8">
            <w:pPr>
              <w:jc w:val="both"/>
              <w:rPr>
                <w:sz w:val="24"/>
                <w:szCs w:val="24"/>
                <w:lang w:val="tr-TR"/>
              </w:rPr>
            </w:pPr>
            <w:r w:rsidRPr="002170F8">
              <w:rPr>
                <w:sz w:val="24"/>
                <w:szCs w:val="24"/>
                <w:lang w:val="tr-TR"/>
              </w:rPr>
              <w:t>(A)</w:t>
            </w:r>
          </w:p>
        </w:tc>
        <w:tc>
          <w:tcPr>
            <w:tcW w:w="6379" w:type="dxa"/>
          </w:tcPr>
          <w:p w:rsidR="002170F8" w:rsidRPr="002170F8" w:rsidRDefault="002170F8" w:rsidP="002170F8">
            <w:pPr>
              <w:jc w:val="both"/>
              <w:rPr>
                <w:sz w:val="24"/>
                <w:szCs w:val="24"/>
                <w:lang w:val="tr-TR"/>
              </w:rPr>
            </w:pPr>
            <w:r w:rsidRPr="002170F8">
              <w:rPr>
                <w:sz w:val="24"/>
                <w:szCs w:val="24"/>
                <w:lang w:val="tr-TR"/>
              </w:rPr>
              <w:t>Tamamının peşin olarak ödenmesi halinde, gecikme zammının % 95 (yüzde doksan beş) ’inin,</w:t>
            </w:r>
          </w:p>
        </w:tc>
      </w:tr>
      <w:tr w:rsidR="002170F8" w:rsidRPr="002170F8" w:rsidTr="00ED2F9D">
        <w:tc>
          <w:tcPr>
            <w:tcW w:w="1702" w:type="dxa"/>
            <w:gridSpan w:val="2"/>
            <w:vMerge/>
            <w:vAlign w:val="center"/>
          </w:tcPr>
          <w:p w:rsidR="002170F8" w:rsidRPr="002170F8" w:rsidRDefault="002170F8" w:rsidP="002170F8">
            <w:pPr>
              <w:rPr>
                <w:sz w:val="24"/>
                <w:szCs w:val="24"/>
                <w:lang w:val="tr-TR"/>
              </w:rPr>
            </w:pPr>
          </w:p>
        </w:tc>
        <w:tc>
          <w:tcPr>
            <w:tcW w:w="425" w:type="dxa"/>
            <w:vMerge/>
            <w:vAlign w:val="center"/>
          </w:tcPr>
          <w:p w:rsidR="002170F8" w:rsidRPr="002170F8" w:rsidRDefault="002170F8" w:rsidP="002170F8">
            <w:pPr>
              <w:rPr>
                <w:sz w:val="24"/>
                <w:szCs w:val="24"/>
                <w:lang w:val="tr-TR"/>
              </w:rPr>
            </w:pPr>
          </w:p>
        </w:tc>
        <w:tc>
          <w:tcPr>
            <w:tcW w:w="567" w:type="dxa"/>
            <w:vMerge/>
            <w:vAlign w:val="center"/>
          </w:tcPr>
          <w:p w:rsidR="002170F8" w:rsidRPr="002170F8" w:rsidRDefault="002170F8" w:rsidP="002170F8">
            <w:pPr>
              <w:rPr>
                <w:sz w:val="24"/>
                <w:szCs w:val="24"/>
                <w:lang w:val="tr-TR"/>
              </w:rPr>
            </w:pPr>
          </w:p>
        </w:tc>
        <w:tc>
          <w:tcPr>
            <w:tcW w:w="283" w:type="dxa"/>
          </w:tcPr>
          <w:p w:rsidR="002170F8" w:rsidRPr="002170F8" w:rsidRDefault="002170F8" w:rsidP="002170F8">
            <w:pPr>
              <w:jc w:val="both"/>
              <w:rPr>
                <w:sz w:val="24"/>
                <w:szCs w:val="24"/>
                <w:lang w:val="tr-TR"/>
              </w:rPr>
            </w:pPr>
          </w:p>
        </w:tc>
        <w:tc>
          <w:tcPr>
            <w:tcW w:w="709" w:type="dxa"/>
          </w:tcPr>
          <w:p w:rsidR="002170F8" w:rsidRPr="002170F8" w:rsidRDefault="002170F8" w:rsidP="002170F8">
            <w:pPr>
              <w:jc w:val="both"/>
              <w:rPr>
                <w:sz w:val="24"/>
                <w:szCs w:val="24"/>
                <w:lang w:val="tr-TR"/>
              </w:rPr>
            </w:pPr>
          </w:p>
        </w:tc>
        <w:tc>
          <w:tcPr>
            <w:tcW w:w="567" w:type="dxa"/>
          </w:tcPr>
          <w:p w:rsidR="002170F8" w:rsidRPr="002170F8" w:rsidRDefault="002170F8" w:rsidP="002170F8">
            <w:pPr>
              <w:jc w:val="both"/>
              <w:rPr>
                <w:sz w:val="24"/>
                <w:szCs w:val="24"/>
                <w:lang w:val="tr-TR"/>
              </w:rPr>
            </w:pPr>
            <w:r w:rsidRPr="002170F8">
              <w:rPr>
                <w:sz w:val="24"/>
                <w:szCs w:val="24"/>
                <w:lang w:val="tr-TR"/>
              </w:rPr>
              <w:t>(B)</w:t>
            </w:r>
          </w:p>
        </w:tc>
        <w:tc>
          <w:tcPr>
            <w:tcW w:w="6379" w:type="dxa"/>
          </w:tcPr>
          <w:p w:rsidR="002170F8" w:rsidRPr="002170F8" w:rsidRDefault="002170F8" w:rsidP="002170F8">
            <w:pPr>
              <w:jc w:val="both"/>
              <w:rPr>
                <w:sz w:val="24"/>
                <w:szCs w:val="24"/>
                <w:lang w:val="tr-TR"/>
              </w:rPr>
            </w:pPr>
            <w:r w:rsidRPr="002170F8">
              <w:rPr>
                <w:sz w:val="24"/>
                <w:szCs w:val="24"/>
                <w:lang w:val="tr-TR"/>
              </w:rPr>
              <w:t>En fazla on iki aylık eşit taksitle ödenmesi halinde, gecikme zammının % 75 (yüzde yetmiş beş)’inin,</w:t>
            </w:r>
          </w:p>
        </w:tc>
      </w:tr>
      <w:tr w:rsidR="002170F8" w:rsidRPr="002170F8" w:rsidTr="00ED2F9D">
        <w:tc>
          <w:tcPr>
            <w:tcW w:w="1702" w:type="dxa"/>
            <w:gridSpan w:val="2"/>
            <w:vMerge/>
            <w:vAlign w:val="center"/>
          </w:tcPr>
          <w:p w:rsidR="002170F8" w:rsidRPr="002170F8" w:rsidRDefault="002170F8" w:rsidP="002170F8">
            <w:pPr>
              <w:rPr>
                <w:sz w:val="24"/>
                <w:szCs w:val="24"/>
                <w:lang w:val="tr-TR"/>
              </w:rPr>
            </w:pPr>
          </w:p>
        </w:tc>
        <w:tc>
          <w:tcPr>
            <w:tcW w:w="425" w:type="dxa"/>
            <w:vMerge/>
            <w:vAlign w:val="center"/>
          </w:tcPr>
          <w:p w:rsidR="002170F8" w:rsidRPr="002170F8" w:rsidRDefault="002170F8" w:rsidP="002170F8">
            <w:pPr>
              <w:rPr>
                <w:sz w:val="24"/>
                <w:szCs w:val="24"/>
                <w:lang w:val="tr-TR"/>
              </w:rPr>
            </w:pPr>
          </w:p>
        </w:tc>
        <w:tc>
          <w:tcPr>
            <w:tcW w:w="567" w:type="dxa"/>
            <w:vMerge/>
            <w:vAlign w:val="center"/>
          </w:tcPr>
          <w:p w:rsidR="002170F8" w:rsidRPr="002170F8" w:rsidRDefault="002170F8" w:rsidP="002170F8">
            <w:pPr>
              <w:rPr>
                <w:sz w:val="24"/>
                <w:szCs w:val="24"/>
                <w:lang w:val="tr-TR"/>
              </w:rPr>
            </w:pPr>
          </w:p>
        </w:tc>
        <w:tc>
          <w:tcPr>
            <w:tcW w:w="283" w:type="dxa"/>
          </w:tcPr>
          <w:p w:rsidR="002170F8" w:rsidRPr="002170F8" w:rsidRDefault="002170F8" w:rsidP="002170F8">
            <w:pPr>
              <w:jc w:val="both"/>
              <w:rPr>
                <w:sz w:val="24"/>
                <w:szCs w:val="24"/>
                <w:lang w:val="tr-TR"/>
              </w:rPr>
            </w:pPr>
          </w:p>
        </w:tc>
        <w:tc>
          <w:tcPr>
            <w:tcW w:w="709" w:type="dxa"/>
          </w:tcPr>
          <w:p w:rsidR="002170F8" w:rsidRPr="002170F8" w:rsidRDefault="002170F8" w:rsidP="002170F8">
            <w:pPr>
              <w:jc w:val="both"/>
              <w:rPr>
                <w:sz w:val="24"/>
                <w:szCs w:val="24"/>
                <w:lang w:val="tr-TR"/>
              </w:rPr>
            </w:pPr>
          </w:p>
        </w:tc>
        <w:tc>
          <w:tcPr>
            <w:tcW w:w="567" w:type="dxa"/>
          </w:tcPr>
          <w:p w:rsidR="002170F8" w:rsidRPr="002170F8" w:rsidRDefault="002170F8" w:rsidP="002170F8">
            <w:pPr>
              <w:jc w:val="both"/>
              <w:rPr>
                <w:sz w:val="24"/>
                <w:szCs w:val="24"/>
                <w:lang w:val="tr-TR"/>
              </w:rPr>
            </w:pPr>
            <w:r w:rsidRPr="002170F8">
              <w:rPr>
                <w:sz w:val="24"/>
                <w:szCs w:val="24"/>
                <w:lang w:val="tr-TR"/>
              </w:rPr>
              <w:t>(C)</w:t>
            </w:r>
          </w:p>
        </w:tc>
        <w:tc>
          <w:tcPr>
            <w:tcW w:w="6379" w:type="dxa"/>
          </w:tcPr>
          <w:p w:rsidR="002170F8" w:rsidRPr="002170F8" w:rsidRDefault="002170F8" w:rsidP="002170F8">
            <w:pPr>
              <w:jc w:val="both"/>
              <w:rPr>
                <w:sz w:val="24"/>
                <w:szCs w:val="24"/>
                <w:lang w:val="tr-TR"/>
              </w:rPr>
            </w:pPr>
            <w:r w:rsidRPr="002170F8">
              <w:rPr>
                <w:sz w:val="24"/>
                <w:szCs w:val="24"/>
                <w:lang w:val="tr-TR"/>
              </w:rPr>
              <w:t>En fazla yirmi dört aylık eşit taksitle ödenmesi halinde gecikme zammının % 60 (yüzde altmış)’ının,</w:t>
            </w:r>
          </w:p>
        </w:tc>
      </w:tr>
      <w:tr w:rsidR="002170F8" w:rsidRPr="002170F8" w:rsidTr="00ED2F9D">
        <w:tc>
          <w:tcPr>
            <w:tcW w:w="1702" w:type="dxa"/>
            <w:gridSpan w:val="2"/>
            <w:vMerge/>
            <w:vAlign w:val="center"/>
            <w:hideMark/>
          </w:tcPr>
          <w:p w:rsidR="002170F8" w:rsidRPr="002170F8" w:rsidRDefault="002170F8" w:rsidP="002170F8">
            <w:pPr>
              <w:rPr>
                <w:sz w:val="24"/>
                <w:szCs w:val="24"/>
                <w:lang w:val="tr-TR"/>
              </w:rPr>
            </w:pPr>
          </w:p>
        </w:tc>
        <w:tc>
          <w:tcPr>
            <w:tcW w:w="425" w:type="dxa"/>
            <w:vMerge/>
            <w:vAlign w:val="center"/>
            <w:hideMark/>
          </w:tcPr>
          <w:p w:rsidR="002170F8" w:rsidRPr="002170F8" w:rsidRDefault="002170F8" w:rsidP="002170F8">
            <w:pPr>
              <w:rPr>
                <w:sz w:val="24"/>
                <w:szCs w:val="24"/>
                <w:lang w:val="tr-TR"/>
              </w:rPr>
            </w:pPr>
          </w:p>
        </w:tc>
        <w:tc>
          <w:tcPr>
            <w:tcW w:w="567" w:type="dxa"/>
            <w:vMerge/>
            <w:vAlign w:val="center"/>
            <w:hideMark/>
          </w:tcPr>
          <w:p w:rsidR="002170F8" w:rsidRPr="002170F8" w:rsidRDefault="002170F8" w:rsidP="002170F8">
            <w:pPr>
              <w:rPr>
                <w:sz w:val="24"/>
                <w:szCs w:val="24"/>
                <w:lang w:val="tr-TR"/>
              </w:rPr>
            </w:pPr>
          </w:p>
        </w:tc>
        <w:tc>
          <w:tcPr>
            <w:tcW w:w="283" w:type="dxa"/>
          </w:tcPr>
          <w:p w:rsidR="002170F8" w:rsidRPr="002170F8" w:rsidRDefault="002170F8" w:rsidP="002170F8">
            <w:pPr>
              <w:jc w:val="both"/>
              <w:rPr>
                <w:sz w:val="24"/>
                <w:szCs w:val="24"/>
                <w:lang w:val="tr-TR"/>
              </w:rPr>
            </w:pPr>
          </w:p>
        </w:tc>
        <w:tc>
          <w:tcPr>
            <w:tcW w:w="709" w:type="dxa"/>
          </w:tcPr>
          <w:p w:rsidR="002170F8" w:rsidRPr="002170F8" w:rsidRDefault="002170F8" w:rsidP="002170F8">
            <w:pPr>
              <w:jc w:val="both"/>
              <w:rPr>
                <w:sz w:val="24"/>
                <w:szCs w:val="24"/>
                <w:lang w:val="tr-TR"/>
              </w:rPr>
            </w:pPr>
          </w:p>
        </w:tc>
        <w:tc>
          <w:tcPr>
            <w:tcW w:w="567" w:type="dxa"/>
          </w:tcPr>
          <w:p w:rsidR="002170F8" w:rsidRPr="002170F8" w:rsidRDefault="002170F8" w:rsidP="002170F8">
            <w:pPr>
              <w:jc w:val="both"/>
              <w:rPr>
                <w:sz w:val="24"/>
                <w:szCs w:val="24"/>
                <w:lang w:val="tr-TR"/>
              </w:rPr>
            </w:pPr>
            <w:r w:rsidRPr="002170F8">
              <w:rPr>
                <w:sz w:val="24"/>
                <w:szCs w:val="24"/>
                <w:lang w:val="tr-TR"/>
              </w:rPr>
              <w:t>(Ç)</w:t>
            </w:r>
          </w:p>
        </w:tc>
        <w:tc>
          <w:tcPr>
            <w:tcW w:w="6379" w:type="dxa"/>
          </w:tcPr>
          <w:p w:rsidR="002170F8" w:rsidRPr="002170F8" w:rsidRDefault="002170F8" w:rsidP="002170F8">
            <w:pPr>
              <w:jc w:val="both"/>
              <w:rPr>
                <w:sz w:val="24"/>
                <w:szCs w:val="24"/>
                <w:lang w:val="tr-TR"/>
              </w:rPr>
            </w:pPr>
            <w:r w:rsidRPr="002170F8">
              <w:rPr>
                <w:sz w:val="24"/>
                <w:szCs w:val="24"/>
                <w:lang w:val="tr-TR"/>
              </w:rPr>
              <w:t>En fazla otuz altı aylık eşit taksitle ödenmesi halinde, gecikme zammının %40 (yüzde kırk)’ının,</w:t>
            </w:r>
          </w:p>
        </w:tc>
      </w:tr>
      <w:tr w:rsidR="002170F8" w:rsidRPr="002170F8" w:rsidTr="00ED2F9D">
        <w:trPr>
          <w:trHeight w:val="279"/>
        </w:trPr>
        <w:tc>
          <w:tcPr>
            <w:tcW w:w="1702" w:type="dxa"/>
            <w:gridSpan w:val="2"/>
            <w:vMerge/>
            <w:vAlign w:val="center"/>
          </w:tcPr>
          <w:p w:rsidR="002170F8" w:rsidRPr="002170F8" w:rsidRDefault="002170F8" w:rsidP="002170F8">
            <w:pPr>
              <w:rPr>
                <w:sz w:val="24"/>
                <w:szCs w:val="24"/>
                <w:lang w:val="tr-TR"/>
              </w:rPr>
            </w:pPr>
          </w:p>
        </w:tc>
        <w:tc>
          <w:tcPr>
            <w:tcW w:w="425" w:type="dxa"/>
            <w:vMerge/>
            <w:vAlign w:val="center"/>
          </w:tcPr>
          <w:p w:rsidR="002170F8" w:rsidRPr="002170F8" w:rsidRDefault="002170F8" w:rsidP="002170F8">
            <w:pPr>
              <w:rPr>
                <w:sz w:val="24"/>
                <w:szCs w:val="24"/>
                <w:lang w:val="tr-TR"/>
              </w:rPr>
            </w:pPr>
          </w:p>
        </w:tc>
        <w:tc>
          <w:tcPr>
            <w:tcW w:w="567" w:type="dxa"/>
            <w:vMerge/>
            <w:vAlign w:val="center"/>
          </w:tcPr>
          <w:p w:rsidR="002170F8" w:rsidRPr="002170F8" w:rsidRDefault="002170F8" w:rsidP="002170F8">
            <w:pPr>
              <w:rPr>
                <w:sz w:val="24"/>
                <w:szCs w:val="24"/>
                <w:lang w:val="tr-TR"/>
              </w:rPr>
            </w:pPr>
          </w:p>
        </w:tc>
        <w:tc>
          <w:tcPr>
            <w:tcW w:w="992" w:type="dxa"/>
            <w:gridSpan w:val="2"/>
          </w:tcPr>
          <w:p w:rsidR="002170F8" w:rsidRPr="002170F8" w:rsidRDefault="002170F8" w:rsidP="002170F8">
            <w:pPr>
              <w:jc w:val="both"/>
              <w:rPr>
                <w:sz w:val="24"/>
                <w:szCs w:val="24"/>
                <w:lang w:val="tr-TR"/>
              </w:rPr>
            </w:pPr>
            <w:r w:rsidRPr="002170F8">
              <w:rPr>
                <w:sz w:val="24"/>
                <w:szCs w:val="24"/>
                <w:lang w:val="tr-TR"/>
              </w:rPr>
              <w:t xml:space="preserve">                     </w:t>
            </w:r>
          </w:p>
        </w:tc>
        <w:tc>
          <w:tcPr>
            <w:tcW w:w="6946" w:type="dxa"/>
            <w:gridSpan w:val="2"/>
          </w:tcPr>
          <w:p w:rsidR="002170F8" w:rsidRPr="002170F8" w:rsidRDefault="002170F8" w:rsidP="002170F8">
            <w:pPr>
              <w:jc w:val="both"/>
              <w:rPr>
                <w:sz w:val="24"/>
                <w:szCs w:val="24"/>
                <w:lang w:val="tr-TR"/>
              </w:rPr>
            </w:pPr>
            <w:r w:rsidRPr="002170F8">
              <w:rPr>
                <w:sz w:val="24"/>
                <w:szCs w:val="24"/>
                <w:lang w:val="tr-TR"/>
              </w:rPr>
              <w:t>tahsilinden vazgeçilir.</w:t>
            </w:r>
          </w:p>
        </w:tc>
      </w:tr>
      <w:tr w:rsidR="002170F8" w:rsidRPr="002170F8" w:rsidTr="00ED2F9D">
        <w:tc>
          <w:tcPr>
            <w:tcW w:w="1702" w:type="dxa"/>
            <w:gridSpan w:val="2"/>
          </w:tcPr>
          <w:p w:rsidR="002170F8" w:rsidRPr="002170F8" w:rsidRDefault="002170F8" w:rsidP="002170F8">
            <w:pPr>
              <w:rPr>
                <w:sz w:val="24"/>
                <w:szCs w:val="24"/>
                <w:lang w:val="tr-TR"/>
              </w:rPr>
            </w:pPr>
            <w:r w:rsidRPr="002170F8">
              <w:rPr>
                <w:sz w:val="24"/>
                <w:szCs w:val="24"/>
                <w:lang w:val="tr-TR"/>
              </w:rPr>
              <w:t>5/2021</w:t>
            </w:r>
          </w:p>
        </w:tc>
        <w:tc>
          <w:tcPr>
            <w:tcW w:w="425" w:type="dxa"/>
          </w:tcPr>
          <w:p w:rsidR="002170F8" w:rsidRPr="002170F8" w:rsidRDefault="002170F8" w:rsidP="002170F8">
            <w:pPr>
              <w:jc w:val="center"/>
              <w:rPr>
                <w:sz w:val="24"/>
                <w:szCs w:val="24"/>
                <w:lang w:val="tr-TR"/>
              </w:rPr>
            </w:pPr>
          </w:p>
        </w:tc>
        <w:tc>
          <w:tcPr>
            <w:tcW w:w="567" w:type="dxa"/>
          </w:tcPr>
          <w:p w:rsidR="002170F8" w:rsidRPr="002170F8" w:rsidRDefault="002170F8" w:rsidP="002170F8">
            <w:pPr>
              <w:jc w:val="both"/>
              <w:rPr>
                <w:sz w:val="24"/>
                <w:szCs w:val="24"/>
                <w:lang w:val="tr-TR"/>
              </w:rPr>
            </w:pPr>
          </w:p>
        </w:tc>
        <w:tc>
          <w:tcPr>
            <w:tcW w:w="283" w:type="dxa"/>
          </w:tcPr>
          <w:p w:rsidR="002170F8" w:rsidRPr="002170F8" w:rsidRDefault="002170F8" w:rsidP="002170F8">
            <w:pPr>
              <w:jc w:val="both"/>
              <w:rPr>
                <w:sz w:val="24"/>
                <w:szCs w:val="24"/>
                <w:lang w:val="tr-TR"/>
              </w:rPr>
            </w:pPr>
          </w:p>
        </w:tc>
        <w:tc>
          <w:tcPr>
            <w:tcW w:w="709" w:type="dxa"/>
          </w:tcPr>
          <w:p w:rsidR="002170F8" w:rsidRPr="002170F8" w:rsidRDefault="002170F8" w:rsidP="002170F8">
            <w:pPr>
              <w:jc w:val="center"/>
              <w:rPr>
                <w:sz w:val="24"/>
                <w:szCs w:val="24"/>
                <w:lang w:val="tr-TR"/>
              </w:rPr>
            </w:pPr>
            <w:r w:rsidRPr="002170F8">
              <w:rPr>
                <w:sz w:val="24"/>
                <w:szCs w:val="24"/>
                <w:lang w:val="tr-TR"/>
              </w:rPr>
              <w:t>(2)</w:t>
            </w:r>
          </w:p>
        </w:tc>
        <w:tc>
          <w:tcPr>
            <w:tcW w:w="6946" w:type="dxa"/>
            <w:gridSpan w:val="2"/>
          </w:tcPr>
          <w:p w:rsidR="002170F8" w:rsidRDefault="002170F8" w:rsidP="002170F8">
            <w:pPr>
              <w:jc w:val="both"/>
              <w:rPr>
                <w:sz w:val="24"/>
                <w:szCs w:val="24"/>
                <w:lang w:val="tr-TR"/>
              </w:rPr>
            </w:pPr>
            <w:r w:rsidRPr="002170F8">
              <w:rPr>
                <w:sz w:val="24"/>
                <w:szCs w:val="24"/>
                <w:lang w:val="tr-TR"/>
              </w:rPr>
              <w:t>Kıbrıs Vakıflar İdaresi Kiracılarının Birikmiş Kira ve Gec</w:t>
            </w:r>
            <w:r w:rsidR="00F008CC">
              <w:rPr>
                <w:sz w:val="24"/>
                <w:szCs w:val="24"/>
                <w:lang w:val="tr-TR"/>
              </w:rPr>
              <w:t>ikme Zammı Borçlarının Tahsili İ</w:t>
            </w:r>
            <w:r w:rsidRPr="002170F8">
              <w:rPr>
                <w:sz w:val="24"/>
                <w:szCs w:val="24"/>
                <w:lang w:val="tr-TR"/>
              </w:rPr>
              <w:t>le İlgili Kuralların Düzenlenmesine İlişkin (Geçici Kurallar) Yasasından yararlanmış olup, yükümlülüklerine uymayan kiracılar dava masraflarını ödemeleri koşuluyla bu maddenin sadece (1)’inci fıkrasının (A) bendinden yararlanabilirler. Peşin ödeme dışındaki taksitlendirmelerden yararlanamazlar.”</w:t>
            </w:r>
          </w:p>
          <w:p w:rsidR="00C70FF1" w:rsidRPr="002170F8" w:rsidRDefault="00C70FF1" w:rsidP="002170F8">
            <w:pPr>
              <w:jc w:val="both"/>
              <w:rPr>
                <w:sz w:val="24"/>
                <w:szCs w:val="24"/>
                <w:lang w:val="tr-TR"/>
              </w:rPr>
            </w:pPr>
          </w:p>
        </w:tc>
      </w:tr>
      <w:tr w:rsidR="002170F8" w:rsidRPr="002170F8" w:rsidTr="00ED2F9D">
        <w:tc>
          <w:tcPr>
            <w:tcW w:w="1702" w:type="dxa"/>
            <w:gridSpan w:val="2"/>
          </w:tcPr>
          <w:p w:rsidR="002170F8" w:rsidRPr="002170F8" w:rsidRDefault="002170F8" w:rsidP="002170F8">
            <w:pPr>
              <w:rPr>
                <w:sz w:val="24"/>
                <w:szCs w:val="24"/>
                <w:lang w:val="tr-TR"/>
              </w:rPr>
            </w:pPr>
          </w:p>
        </w:tc>
        <w:tc>
          <w:tcPr>
            <w:tcW w:w="425" w:type="dxa"/>
          </w:tcPr>
          <w:p w:rsidR="002170F8" w:rsidRPr="002170F8" w:rsidRDefault="002170F8" w:rsidP="002170F8">
            <w:pPr>
              <w:jc w:val="center"/>
              <w:rPr>
                <w:sz w:val="24"/>
                <w:szCs w:val="24"/>
                <w:lang w:val="tr-TR"/>
              </w:rPr>
            </w:pPr>
          </w:p>
        </w:tc>
        <w:tc>
          <w:tcPr>
            <w:tcW w:w="567" w:type="dxa"/>
          </w:tcPr>
          <w:p w:rsidR="002170F8" w:rsidRPr="002170F8" w:rsidRDefault="002170F8" w:rsidP="002170F8">
            <w:pPr>
              <w:jc w:val="both"/>
              <w:rPr>
                <w:sz w:val="24"/>
                <w:szCs w:val="24"/>
                <w:lang w:val="tr-TR"/>
              </w:rPr>
            </w:pPr>
            <w:r w:rsidRPr="002170F8">
              <w:rPr>
                <w:sz w:val="24"/>
                <w:szCs w:val="24"/>
                <w:lang w:val="tr-TR"/>
              </w:rPr>
              <w:t xml:space="preserve">(2) </w:t>
            </w:r>
          </w:p>
        </w:tc>
        <w:tc>
          <w:tcPr>
            <w:tcW w:w="7938" w:type="dxa"/>
            <w:gridSpan w:val="4"/>
          </w:tcPr>
          <w:p w:rsidR="002170F8" w:rsidRPr="002170F8" w:rsidRDefault="002170F8" w:rsidP="002170F8">
            <w:pPr>
              <w:jc w:val="both"/>
              <w:rPr>
                <w:sz w:val="24"/>
                <w:szCs w:val="24"/>
                <w:lang w:val="tr-TR"/>
              </w:rPr>
            </w:pPr>
            <w:r w:rsidRPr="002170F8">
              <w:rPr>
                <w:sz w:val="24"/>
                <w:szCs w:val="24"/>
                <w:lang w:val="tr-TR"/>
              </w:rPr>
              <w:t>Esas Yasa, 5’inci maddesinin (6)’ncı fıkrası kaldırılmak ve yerine aşağıdaki yeni (6)’ncı fıkra konmak suretiyle değiştirilir:</w:t>
            </w:r>
          </w:p>
          <w:p w:rsidR="002170F8" w:rsidRPr="002170F8" w:rsidRDefault="002170F8" w:rsidP="002170F8">
            <w:pPr>
              <w:jc w:val="both"/>
              <w:rPr>
                <w:sz w:val="24"/>
                <w:szCs w:val="24"/>
                <w:lang w:val="tr-TR"/>
              </w:rPr>
            </w:pPr>
          </w:p>
        </w:tc>
      </w:tr>
      <w:tr w:rsidR="002170F8" w:rsidRPr="002170F8" w:rsidTr="002170F8">
        <w:trPr>
          <w:trHeight w:val="1418"/>
        </w:trPr>
        <w:tc>
          <w:tcPr>
            <w:tcW w:w="1702" w:type="dxa"/>
            <w:gridSpan w:val="2"/>
          </w:tcPr>
          <w:p w:rsidR="002170F8" w:rsidRPr="002170F8" w:rsidRDefault="002170F8" w:rsidP="002170F8">
            <w:pPr>
              <w:rPr>
                <w:sz w:val="24"/>
                <w:szCs w:val="24"/>
                <w:lang w:val="tr-TR"/>
              </w:rPr>
            </w:pPr>
          </w:p>
        </w:tc>
        <w:tc>
          <w:tcPr>
            <w:tcW w:w="425" w:type="dxa"/>
          </w:tcPr>
          <w:p w:rsidR="002170F8" w:rsidRPr="002170F8" w:rsidRDefault="002170F8" w:rsidP="002170F8">
            <w:pPr>
              <w:jc w:val="center"/>
              <w:rPr>
                <w:sz w:val="24"/>
                <w:szCs w:val="24"/>
                <w:lang w:val="tr-TR"/>
              </w:rPr>
            </w:pPr>
          </w:p>
        </w:tc>
        <w:tc>
          <w:tcPr>
            <w:tcW w:w="567" w:type="dxa"/>
          </w:tcPr>
          <w:p w:rsidR="002170F8" w:rsidRPr="002170F8" w:rsidRDefault="002170F8" w:rsidP="002170F8">
            <w:pPr>
              <w:jc w:val="center"/>
              <w:rPr>
                <w:sz w:val="24"/>
                <w:szCs w:val="24"/>
                <w:lang w:val="tr-TR"/>
              </w:rPr>
            </w:pPr>
          </w:p>
        </w:tc>
        <w:tc>
          <w:tcPr>
            <w:tcW w:w="283" w:type="dxa"/>
          </w:tcPr>
          <w:p w:rsidR="002170F8" w:rsidRPr="002170F8" w:rsidRDefault="002170F8" w:rsidP="002170F8">
            <w:pPr>
              <w:jc w:val="both"/>
              <w:rPr>
                <w:sz w:val="24"/>
                <w:szCs w:val="24"/>
                <w:lang w:val="tr-TR"/>
              </w:rPr>
            </w:pPr>
          </w:p>
        </w:tc>
        <w:tc>
          <w:tcPr>
            <w:tcW w:w="709" w:type="dxa"/>
          </w:tcPr>
          <w:p w:rsidR="002170F8" w:rsidRPr="002170F8" w:rsidRDefault="002170F8" w:rsidP="002170F8">
            <w:pPr>
              <w:jc w:val="both"/>
              <w:rPr>
                <w:sz w:val="24"/>
                <w:szCs w:val="24"/>
                <w:lang w:val="tr-TR"/>
              </w:rPr>
            </w:pPr>
            <w:r w:rsidRPr="002170F8">
              <w:rPr>
                <w:sz w:val="24"/>
                <w:szCs w:val="24"/>
                <w:lang w:val="tr-TR"/>
              </w:rPr>
              <w:t xml:space="preserve">“(6) </w:t>
            </w:r>
          </w:p>
        </w:tc>
        <w:tc>
          <w:tcPr>
            <w:tcW w:w="6946" w:type="dxa"/>
            <w:gridSpan w:val="2"/>
          </w:tcPr>
          <w:p w:rsidR="002170F8" w:rsidRDefault="002170F8" w:rsidP="002170F8">
            <w:pPr>
              <w:jc w:val="both"/>
              <w:rPr>
                <w:sz w:val="24"/>
                <w:szCs w:val="24"/>
                <w:lang w:val="tr-TR"/>
              </w:rPr>
            </w:pPr>
            <w:r w:rsidRPr="002170F8">
              <w:rPr>
                <w:sz w:val="24"/>
                <w:szCs w:val="24"/>
                <w:lang w:val="tr-TR"/>
              </w:rPr>
              <w:t>Yatırım amaçlı ve uzun vadeli kira sözleşmesi bulunan hükümlü borçlu ve/veya hakkında yasal işlem başlatılmış ancak aleyhlerinde henüz hüküm alınmamış ve/veya hakkında henüz yasal işlem başlatılmamış olan ve yeni kira bedellerinin ve/veya diğer kira koşullarının belirlenmesinde ihtilafa düşen kiracıların, bu Yasanın yürürlüğe girdiği tarihten başlayarak 90 (doksan) gün içerisinde başvuru yapmamaları halinde, İdare ilgili mevzuat uyarınca derhal tahliye yoluna gider.”</w:t>
            </w:r>
          </w:p>
          <w:p w:rsidR="002170F8" w:rsidRPr="002170F8" w:rsidRDefault="002170F8" w:rsidP="002170F8">
            <w:pPr>
              <w:jc w:val="both"/>
              <w:rPr>
                <w:sz w:val="24"/>
                <w:szCs w:val="24"/>
                <w:lang w:val="tr-TR"/>
              </w:rPr>
            </w:pPr>
          </w:p>
        </w:tc>
      </w:tr>
      <w:tr w:rsidR="002170F8" w:rsidRPr="002170F8" w:rsidTr="00ED2F9D">
        <w:tc>
          <w:tcPr>
            <w:tcW w:w="1688" w:type="dxa"/>
          </w:tcPr>
          <w:p w:rsidR="002170F8" w:rsidRPr="002170F8" w:rsidRDefault="002170F8" w:rsidP="002170F8">
            <w:pPr>
              <w:rPr>
                <w:sz w:val="24"/>
                <w:szCs w:val="24"/>
                <w:lang w:val="tr-TR"/>
              </w:rPr>
            </w:pPr>
            <w:r w:rsidRPr="002170F8">
              <w:rPr>
                <w:sz w:val="24"/>
                <w:szCs w:val="24"/>
                <w:lang w:val="tr-TR"/>
              </w:rPr>
              <w:t xml:space="preserve">Esas Yasanın 6’ncı Maddesinin </w:t>
            </w:r>
          </w:p>
        </w:tc>
        <w:tc>
          <w:tcPr>
            <w:tcW w:w="8944" w:type="dxa"/>
            <w:gridSpan w:val="7"/>
          </w:tcPr>
          <w:p w:rsidR="002170F8" w:rsidRPr="002170F8" w:rsidRDefault="002170F8" w:rsidP="002170F8">
            <w:pPr>
              <w:jc w:val="both"/>
              <w:rPr>
                <w:sz w:val="24"/>
                <w:szCs w:val="24"/>
                <w:lang w:val="tr-TR"/>
              </w:rPr>
            </w:pPr>
            <w:r w:rsidRPr="002170F8">
              <w:rPr>
                <w:sz w:val="24"/>
                <w:szCs w:val="24"/>
                <w:lang w:val="tr-TR"/>
              </w:rPr>
              <w:t>3. Esas Yasa, 6’ncı maddesi kaldırılmak ve yerine aşağıdaki yeni 6’ncı madde konmak suretiyle değiştirilir:</w:t>
            </w:r>
          </w:p>
        </w:tc>
      </w:tr>
      <w:tr w:rsidR="002170F8" w:rsidRPr="002170F8" w:rsidTr="00ED2F9D">
        <w:tc>
          <w:tcPr>
            <w:tcW w:w="1688" w:type="dxa"/>
          </w:tcPr>
          <w:p w:rsidR="002170F8" w:rsidRPr="002170F8" w:rsidRDefault="002170F8" w:rsidP="002170F8">
            <w:pPr>
              <w:rPr>
                <w:sz w:val="24"/>
                <w:szCs w:val="24"/>
                <w:lang w:val="tr-TR"/>
              </w:rPr>
            </w:pPr>
            <w:r w:rsidRPr="002170F8">
              <w:rPr>
                <w:sz w:val="24"/>
                <w:szCs w:val="24"/>
                <w:lang w:val="tr-TR"/>
              </w:rPr>
              <w:t>Değiştirilmesi</w:t>
            </w:r>
          </w:p>
        </w:tc>
        <w:tc>
          <w:tcPr>
            <w:tcW w:w="439" w:type="dxa"/>
            <w:gridSpan w:val="2"/>
          </w:tcPr>
          <w:p w:rsidR="002170F8" w:rsidRPr="002170F8" w:rsidRDefault="002170F8" w:rsidP="002170F8">
            <w:pPr>
              <w:jc w:val="center"/>
              <w:rPr>
                <w:sz w:val="24"/>
                <w:szCs w:val="24"/>
                <w:lang w:val="tr-TR"/>
              </w:rPr>
            </w:pPr>
          </w:p>
        </w:tc>
        <w:tc>
          <w:tcPr>
            <w:tcW w:w="2126" w:type="dxa"/>
            <w:gridSpan w:val="4"/>
          </w:tcPr>
          <w:p w:rsidR="002170F8" w:rsidRPr="002170F8" w:rsidRDefault="002170F8" w:rsidP="002170F8">
            <w:pPr>
              <w:jc w:val="both"/>
              <w:rPr>
                <w:sz w:val="24"/>
                <w:szCs w:val="24"/>
                <w:lang w:val="tr-TR"/>
              </w:rPr>
            </w:pPr>
            <w:r w:rsidRPr="002170F8">
              <w:rPr>
                <w:sz w:val="24"/>
                <w:szCs w:val="24"/>
                <w:lang w:val="tr-TR"/>
              </w:rPr>
              <w:t xml:space="preserve">“Yürütme Yetkisi </w:t>
            </w:r>
          </w:p>
        </w:tc>
        <w:tc>
          <w:tcPr>
            <w:tcW w:w="6379" w:type="dxa"/>
          </w:tcPr>
          <w:p w:rsidR="002170F8" w:rsidRPr="002170F8" w:rsidRDefault="002170F8" w:rsidP="002170F8">
            <w:pPr>
              <w:jc w:val="both"/>
              <w:rPr>
                <w:sz w:val="24"/>
                <w:szCs w:val="24"/>
                <w:lang w:val="tr-TR"/>
              </w:rPr>
            </w:pPr>
            <w:r w:rsidRPr="002170F8">
              <w:rPr>
                <w:sz w:val="24"/>
                <w:szCs w:val="24"/>
                <w:lang w:val="tr-TR"/>
              </w:rPr>
              <w:t>6. Bu Yasa, Başbakanlık tarafından yürütülür ve uygulaması Vakıflar Örgütü ve Din İşleri Dairesi Yönetim Kurulu tarafından yapılır.”</w:t>
            </w:r>
          </w:p>
        </w:tc>
      </w:tr>
      <w:tr w:rsidR="002170F8" w:rsidRPr="002170F8" w:rsidTr="00ED2F9D">
        <w:tc>
          <w:tcPr>
            <w:tcW w:w="10632" w:type="dxa"/>
            <w:gridSpan w:val="8"/>
          </w:tcPr>
          <w:p w:rsidR="002170F8" w:rsidRPr="002170F8" w:rsidRDefault="002170F8" w:rsidP="002170F8">
            <w:pPr>
              <w:jc w:val="both"/>
              <w:rPr>
                <w:sz w:val="24"/>
                <w:szCs w:val="24"/>
                <w:lang w:val="tr-TR"/>
              </w:rPr>
            </w:pPr>
          </w:p>
        </w:tc>
      </w:tr>
      <w:tr w:rsidR="002170F8" w:rsidRPr="002170F8" w:rsidTr="00ED2F9D">
        <w:tc>
          <w:tcPr>
            <w:tcW w:w="1688" w:type="dxa"/>
          </w:tcPr>
          <w:p w:rsidR="002170F8" w:rsidRPr="002170F8" w:rsidRDefault="002170F8" w:rsidP="002170F8">
            <w:pPr>
              <w:rPr>
                <w:sz w:val="24"/>
                <w:szCs w:val="24"/>
                <w:lang w:val="tr-TR"/>
              </w:rPr>
            </w:pPr>
            <w:r w:rsidRPr="002170F8">
              <w:rPr>
                <w:sz w:val="24"/>
                <w:szCs w:val="24"/>
                <w:lang w:val="tr-TR"/>
              </w:rPr>
              <w:t>Yürürlüğe Giriş</w:t>
            </w:r>
          </w:p>
        </w:tc>
        <w:tc>
          <w:tcPr>
            <w:tcW w:w="8944" w:type="dxa"/>
            <w:gridSpan w:val="7"/>
          </w:tcPr>
          <w:p w:rsidR="002170F8" w:rsidRPr="002170F8" w:rsidRDefault="002170F8" w:rsidP="002170F8">
            <w:pPr>
              <w:rPr>
                <w:sz w:val="24"/>
                <w:szCs w:val="24"/>
                <w:lang w:val="tr-TR"/>
              </w:rPr>
            </w:pPr>
            <w:r w:rsidRPr="002170F8">
              <w:rPr>
                <w:sz w:val="24"/>
                <w:szCs w:val="24"/>
                <w:lang w:val="tr-TR"/>
              </w:rPr>
              <w:t>4. Bu Yasa, Resmi Gazete’de yayımlandığı tarihten başlayarak yürürlüğe girer.</w:t>
            </w:r>
          </w:p>
        </w:tc>
      </w:tr>
    </w:tbl>
    <w:p w:rsidR="002170F8" w:rsidRPr="002170F8" w:rsidRDefault="002170F8" w:rsidP="002170F8">
      <w:pPr>
        <w:spacing w:after="200" w:line="276" w:lineRule="auto"/>
        <w:rPr>
          <w:sz w:val="24"/>
          <w:szCs w:val="24"/>
          <w:lang w:val="tr-TR" w:eastAsia="tr-TR"/>
        </w:rPr>
      </w:pPr>
    </w:p>
    <w:p w:rsidR="002170F8" w:rsidRDefault="002170F8" w:rsidP="00730A65"/>
    <w:sectPr w:rsidR="002170F8" w:rsidSect="00250144">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D3"/>
    <w:rsid w:val="00031BA2"/>
    <w:rsid w:val="00044DFC"/>
    <w:rsid w:val="0005377B"/>
    <w:rsid w:val="0005411F"/>
    <w:rsid w:val="000720CA"/>
    <w:rsid w:val="00096742"/>
    <w:rsid w:val="000A3CCC"/>
    <w:rsid w:val="000C6951"/>
    <w:rsid w:val="000D2439"/>
    <w:rsid w:val="000D3AB1"/>
    <w:rsid w:val="000E2E6D"/>
    <w:rsid w:val="000E620F"/>
    <w:rsid w:val="000F56F5"/>
    <w:rsid w:val="000F579B"/>
    <w:rsid w:val="00111630"/>
    <w:rsid w:val="00136E2E"/>
    <w:rsid w:val="0016570C"/>
    <w:rsid w:val="00166C8D"/>
    <w:rsid w:val="00182072"/>
    <w:rsid w:val="001C3D0A"/>
    <w:rsid w:val="001E5E46"/>
    <w:rsid w:val="002170F8"/>
    <w:rsid w:val="00250144"/>
    <w:rsid w:val="0026334A"/>
    <w:rsid w:val="002C4E72"/>
    <w:rsid w:val="002E0ACD"/>
    <w:rsid w:val="002F6578"/>
    <w:rsid w:val="00305E5B"/>
    <w:rsid w:val="0030626F"/>
    <w:rsid w:val="0032400F"/>
    <w:rsid w:val="003248A9"/>
    <w:rsid w:val="00333FCE"/>
    <w:rsid w:val="00345712"/>
    <w:rsid w:val="0035094C"/>
    <w:rsid w:val="00357B8C"/>
    <w:rsid w:val="003675B6"/>
    <w:rsid w:val="003761B6"/>
    <w:rsid w:val="0039424F"/>
    <w:rsid w:val="003D100E"/>
    <w:rsid w:val="00426807"/>
    <w:rsid w:val="004270C7"/>
    <w:rsid w:val="00435ECA"/>
    <w:rsid w:val="00444CB7"/>
    <w:rsid w:val="00477CE1"/>
    <w:rsid w:val="00491991"/>
    <w:rsid w:val="004B0207"/>
    <w:rsid w:val="004B4083"/>
    <w:rsid w:val="004B6BBC"/>
    <w:rsid w:val="005338F9"/>
    <w:rsid w:val="00545738"/>
    <w:rsid w:val="00554A9D"/>
    <w:rsid w:val="00570615"/>
    <w:rsid w:val="00572E94"/>
    <w:rsid w:val="005734EB"/>
    <w:rsid w:val="00577ECA"/>
    <w:rsid w:val="0058609F"/>
    <w:rsid w:val="00586ADC"/>
    <w:rsid w:val="005942DE"/>
    <w:rsid w:val="005A38FB"/>
    <w:rsid w:val="005F02DE"/>
    <w:rsid w:val="005F2575"/>
    <w:rsid w:val="0060108D"/>
    <w:rsid w:val="00604231"/>
    <w:rsid w:val="006043DC"/>
    <w:rsid w:val="00612721"/>
    <w:rsid w:val="006217EE"/>
    <w:rsid w:val="00641602"/>
    <w:rsid w:val="0066779A"/>
    <w:rsid w:val="006759BD"/>
    <w:rsid w:val="00676D15"/>
    <w:rsid w:val="00677460"/>
    <w:rsid w:val="00677888"/>
    <w:rsid w:val="00680F5E"/>
    <w:rsid w:val="00684658"/>
    <w:rsid w:val="006A1ECB"/>
    <w:rsid w:val="006B15E1"/>
    <w:rsid w:val="006C570E"/>
    <w:rsid w:val="006C67FC"/>
    <w:rsid w:val="006D7546"/>
    <w:rsid w:val="00730A65"/>
    <w:rsid w:val="00736994"/>
    <w:rsid w:val="00741A1A"/>
    <w:rsid w:val="007556C6"/>
    <w:rsid w:val="00757B38"/>
    <w:rsid w:val="00763BC6"/>
    <w:rsid w:val="00796325"/>
    <w:rsid w:val="007A2322"/>
    <w:rsid w:val="007A7FF4"/>
    <w:rsid w:val="007B049B"/>
    <w:rsid w:val="007C0AD0"/>
    <w:rsid w:val="007C2E4C"/>
    <w:rsid w:val="007E0743"/>
    <w:rsid w:val="00823A05"/>
    <w:rsid w:val="008279E0"/>
    <w:rsid w:val="00845BD3"/>
    <w:rsid w:val="00864CB4"/>
    <w:rsid w:val="00866D98"/>
    <w:rsid w:val="008B55BC"/>
    <w:rsid w:val="008C2626"/>
    <w:rsid w:val="008C26BE"/>
    <w:rsid w:val="008C3451"/>
    <w:rsid w:val="008E74D5"/>
    <w:rsid w:val="008F6FE2"/>
    <w:rsid w:val="00905D78"/>
    <w:rsid w:val="00916C4B"/>
    <w:rsid w:val="009267B8"/>
    <w:rsid w:val="009457C8"/>
    <w:rsid w:val="00966A1D"/>
    <w:rsid w:val="009F0551"/>
    <w:rsid w:val="009F66ED"/>
    <w:rsid w:val="00A20E02"/>
    <w:rsid w:val="00A402F0"/>
    <w:rsid w:val="00A662FB"/>
    <w:rsid w:val="00A72095"/>
    <w:rsid w:val="00A72570"/>
    <w:rsid w:val="00A83A73"/>
    <w:rsid w:val="00A84843"/>
    <w:rsid w:val="00A94667"/>
    <w:rsid w:val="00AD19A0"/>
    <w:rsid w:val="00B0039C"/>
    <w:rsid w:val="00B15727"/>
    <w:rsid w:val="00B25EEC"/>
    <w:rsid w:val="00B4628F"/>
    <w:rsid w:val="00B5230C"/>
    <w:rsid w:val="00B827A0"/>
    <w:rsid w:val="00B96A3C"/>
    <w:rsid w:val="00B97399"/>
    <w:rsid w:val="00BC4268"/>
    <w:rsid w:val="00BE23F0"/>
    <w:rsid w:val="00BE2DCA"/>
    <w:rsid w:val="00BF7D1C"/>
    <w:rsid w:val="00C009F5"/>
    <w:rsid w:val="00C01F46"/>
    <w:rsid w:val="00C04DC1"/>
    <w:rsid w:val="00C12CBB"/>
    <w:rsid w:val="00C65E2B"/>
    <w:rsid w:val="00C70FF1"/>
    <w:rsid w:val="00C74054"/>
    <w:rsid w:val="00C9645F"/>
    <w:rsid w:val="00CA3456"/>
    <w:rsid w:val="00CB77B5"/>
    <w:rsid w:val="00D11D62"/>
    <w:rsid w:val="00D1200E"/>
    <w:rsid w:val="00D53707"/>
    <w:rsid w:val="00D75C71"/>
    <w:rsid w:val="00DA378E"/>
    <w:rsid w:val="00DB579B"/>
    <w:rsid w:val="00DC3B93"/>
    <w:rsid w:val="00DF1614"/>
    <w:rsid w:val="00E1172A"/>
    <w:rsid w:val="00E331B3"/>
    <w:rsid w:val="00E65200"/>
    <w:rsid w:val="00E74CD2"/>
    <w:rsid w:val="00EA05D9"/>
    <w:rsid w:val="00EF2F6F"/>
    <w:rsid w:val="00EF7D2B"/>
    <w:rsid w:val="00F008CC"/>
    <w:rsid w:val="00F01CFD"/>
    <w:rsid w:val="00F15CB2"/>
    <w:rsid w:val="00F30662"/>
    <w:rsid w:val="00F31C26"/>
    <w:rsid w:val="00F5298C"/>
    <w:rsid w:val="00F55811"/>
    <w:rsid w:val="00F670D3"/>
    <w:rsid w:val="00F729B9"/>
    <w:rsid w:val="00F751F3"/>
    <w:rsid w:val="00F86D90"/>
    <w:rsid w:val="00FC7191"/>
    <w:rsid w:val="00FD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65"/>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9A0"/>
    <w:rPr>
      <w:rFonts w:ascii="Tahoma" w:hAnsi="Tahoma" w:cs="Tahoma"/>
      <w:sz w:val="16"/>
      <w:szCs w:val="16"/>
    </w:rPr>
  </w:style>
  <w:style w:type="character" w:customStyle="1" w:styleId="BalloonTextChar">
    <w:name w:val="Balloon Text Char"/>
    <w:basedOn w:val="DefaultParagraphFont"/>
    <w:link w:val="BalloonText"/>
    <w:uiPriority w:val="99"/>
    <w:semiHidden/>
    <w:rsid w:val="00AD19A0"/>
    <w:rPr>
      <w:rFonts w:ascii="Tahoma" w:eastAsia="Times New Roman" w:hAnsi="Tahoma" w:cs="Tahoma"/>
      <w:sz w:val="16"/>
      <w:szCs w:val="16"/>
      <w:lang w:val="en-AU"/>
    </w:rPr>
  </w:style>
  <w:style w:type="table" w:customStyle="1" w:styleId="TableGrid1">
    <w:name w:val="Table Grid1"/>
    <w:basedOn w:val="TableNormal"/>
    <w:next w:val="TableGrid"/>
    <w:uiPriority w:val="59"/>
    <w:rsid w:val="002170F8"/>
    <w:pPr>
      <w:spacing w:after="0" w:line="240" w:lineRule="auto"/>
    </w:pPr>
    <w:rPr>
      <w:rFonts w:ascii="Calibri" w:eastAsia="Times New Roman" w:hAnsi="Calibri" w:cs="Times New Roman"/>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1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A65"/>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9A0"/>
    <w:rPr>
      <w:rFonts w:ascii="Tahoma" w:hAnsi="Tahoma" w:cs="Tahoma"/>
      <w:sz w:val="16"/>
      <w:szCs w:val="16"/>
    </w:rPr>
  </w:style>
  <w:style w:type="character" w:customStyle="1" w:styleId="BalloonTextChar">
    <w:name w:val="Balloon Text Char"/>
    <w:basedOn w:val="DefaultParagraphFont"/>
    <w:link w:val="BalloonText"/>
    <w:uiPriority w:val="99"/>
    <w:semiHidden/>
    <w:rsid w:val="00AD19A0"/>
    <w:rPr>
      <w:rFonts w:ascii="Tahoma" w:eastAsia="Times New Roman" w:hAnsi="Tahoma" w:cs="Tahoma"/>
      <w:sz w:val="16"/>
      <w:szCs w:val="16"/>
      <w:lang w:val="en-AU"/>
    </w:rPr>
  </w:style>
  <w:style w:type="table" w:customStyle="1" w:styleId="TableGrid1">
    <w:name w:val="Table Grid1"/>
    <w:basedOn w:val="TableNormal"/>
    <w:next w:val="TableGrid"/>
    <w:uiPriority w:val="59"/>
    <w:rsid w:val="002170F8"/>
    <w:pPr>
      <w:spacing w:after="0" w:line="240" w:lineRule="auto"/>
    </w:pPr>
    <w:rPr>
      <w:rFonts w:ascii="Calibri" w:eastAsia="Times New Roman" w:hAnsi="Calibri" w:cs="Times New Roman"/>
      <w:lang w:val="tr-TR"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2170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Sinem01 Demirgil</dc:creator>
  <cp:lastModifiedBy>alaraatac</cp:lastModifiedBy>
  <cp:revision>2</cp:revision>
  <cp:lastPrinted>2023-06-26T06:31:00Z</cp:lastPrinted>
  <dcterms:created xsi:type="dcterms:W3CDTF">2023-07-06T10:05:00Z</dcterms:created>
  <dcterms:modified xsi:type="dcterms:W3CDTF">2023-07-06T10:05:00Z</dcterms:modified>
</cp:coreProperties>
</file>