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18270" w14:textId="3ADFEBA5" w:rsidR="007766AA" w:rsidRDefault="007766AA" w:rsidP="007766AA">
      <w:pPr>
        <w:jc w:val="both"/>
        <w:rPr>
          <w:rFonts w:eastAsia="Calibri"/>
        </w:rPr>
      </w:pPr>
      <w:r w:rsidRPr="005E28FD">
        <w:rPr>
          <w:rFonts w:eastAsia="Calibri"/>
        </w:rPr>
        <w:t xml:space="preserve">Kuzey Kıbrıs Türk Cumhuriyeti Cumhuriyet Meclisi’nin </w:t>
      </w:r>
      <w:r>
        <w:rPr>
          <w:rFonts w:eastAsia="Calibri"/>
        </w:rPr>
        <w:t>25</w:t>
      </w:r>
      <w:r w:rsidRPr="005E28FD">
        <w:rPr>
          <w:rFonts w:eastAsia="Calibri"/>
        </w:rPr>
        <w:t xml:space="preserve"> Mart 2024 tarihli </w:t>
      </w:r>
      <w:r>
        <w:rPr>
          <w:rFonts w:eastAsia="Calibri"/>
        </w:rPr>
        <w:t>Kırkbeşinci</w:t>
      </w:r>
      <w:r>
        <w:rPr>
          <w:rFonts w:eastAsia="Calibri"/>
        </w:rPr>
        <w:t xml:space="preserve"> </w:t>
      </w:r>
      <w:r w:rsidRPr="005E28FD">
        <w:rPr>
          <w:rFonts w:eastAsia="Calibri"/>
        </w:rPr>
        <w:t>Birleşiminde Oybirliğiyle kabul olunan “</w:t>
      </w:r>
      <w:r w:rsidRPr="007766AA">
        <w:rPr>
          <w:rFonts w:eastAsia="Calibri"/>
        </w:rPr>
        <w:t>Kamu Görevlileri (Değişiklik) Yasası</w:t>
      </w:r>
      <w:r w:rsidRPr="005E28FD">
        <w:rPr>
          <w:rFonts w:eastAsia="Calibri"/>
        </w:rPr>
        <w:t>” Anayasanın 94’üncü maddesinin (1)’inci fıkrası gereğince Kuzey Kıbrıs Türk Cumhuriyeti Cumhurbaşkanı tarafından Resmi Gazete’de yayımlanmak suretiyle ilan olunur.</w:t>
      </w:r>
    </w:p>
    <w:p w14:paraId="55523C51" w14:textId="77777777" w:rsidR="007766AA" w:rsidRDefault="007766AA" w:rsidP="007766AA">
      <w:pPr>
        <w:jc w:val="both"/>
      </w:pPr>
    </w:p>
    <w:p w14:paraId="3B5FF268" w14:textId="07F47D02" w:rsidR="007766AA" w:rsidRDefault="007766AA" w:rsidP="007766AA">
      <w:pPr>
        <w:jc w:val="center"/>
      </w:pPr>
      <w:r>
        <w:t>Sayı: 28/2024</w:t>
      </w:r>
    </w:p>
    <w:p w14:paraId="58673265" w14:textId="77777777" w:rsidR="007766AA" w:rsidRDefault="007766AA" w:rsidP="00BD4AE4">
      <w:pPr>
        <w:jc w:val="center"/>
      </w:pPr>
    </w:p>
    <w:p w14:paraId="7BD82A95" w14:textId="4591B78E" w:rsidR="009B093E" w:rsidRPr="00604245" w:rsidRDefault="00CA4796" w:rsidP="00BD4AE4">
      <w:pPr>
        <w:jc w:val="center"/>
      </w:pPr>
      <w:r w:rsidRPr="00604245">
        <w:t>K</w:t>
      </w:r>
      <w:r w:rsidR="009B093E" w:rsidRPr="00604245">
        <w:t>AMU GÖRE</w:t>
      </w:r>
      <w:r w:rsidR="00F7289C">
        <w:t>VLİLERİ (DEĞİŞİKLİK) YASA</w:t>
      </w:r>
      <w:r w:rsidR="009B093E" w:rsidRPr="00604245">
        <w:t>SI</w:t>
      </w:r>
    </w:p>
    <w:p w14:paraId="60E58388" w14:textId="77777777" w:rsidR="00BD4AE4" w:rsidRPr="00BD4AE4" w:rsidRDefault="00BD4AE4" w:rsidP="00BD4AE4">
      <w:pPr>
        <w:jc w:val="center"/>
        <w:rPr>
          <w:b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88"/>
        <w:gridCol w:w="7626"/>
      </w:tblGrid>
      <w:tr w:rsidR="00CB2DF3" w:rsidRPr="00C87C63" w14:paraId="10799FEB" w14:textId="77777777" w:rsidTr="00775F46">
        <w:tc>
          <w:tcPr>
            <w:tcW w:w="1588" w:type="dxa"/>
          </w:tcPr>
          <w:p w14:paraId="2EE69C54" w14:textId="77777777" w:rsidR="00CB2DF3" w:rsidRPr="00C87C63" w:rsidRDefault="00CB2DF3" w:rsidP="008A462E"/>
        </w:tc>
        <w:tc>
          <w:tcPr>
            <w:tcW w:w="7626" w:type="dxa"/>
          </w:tcPr>
          <w:p w14:paraId="60081935" w14:textId="749A94F9" w:rsidR="00CB2DF3" w:rsidRPr="00C87C63" w:rsidRDefault="007B1749" w:rsidP="008A462E">
            <w:pPr>
              <w:jc w:val="both"/>
            </w:pPr>
            <w:r>
              <w:t xml:space="preserve">         </w:t>
            </w:r>
            <w:r w:rsidR="00CB2DF3" w:rsidRPr="00C87C63">
              <w:t>Kuzey Kıbrıs Türk Cumhuriyet</w:t>
            </w:r>
            <w:r w:rsidR="00A15D85">
              <w:t>i Cumhuriyet Meclisi aşağıdaki Y</w:t>
            </w:r>
            <w:r w:rsidR="00CB2DF3" w:rsidRPr="00C87C63">
              <w:t>asayı yapar:</w:t>
            </w:r>
          </w:p>
          <w:p w14:paraId="31BBE62A" w14:textId="77777777" w:rsidR="00CB2DF3" w:rsidRPr="00C87C63" w:rsidRDefault="00CB2DF3" w:rsidP="008A462E">
            <w:pPr>
              <w:jc w:val="both"/>
            </w:pPr>
          </w:p>
        </w:tc>
      </w:tr>
      <w:tr w:rsidR="00CB2DF3" w:rsidRPr="00C87C63" w14:paraId="5E0A1A99" w14:textId="77777777" w:rsidTr="00775F46">
        <w:tc>
          <w:tcPr>
            <w:tcW w:w="1588" w:type="dxa"/>
          </w:tcPr>
          <w:p w14:paraId="24F8B8DD" w14:textId="77777777" w:rsidR="00CB2DF3" w:rsidRPr="00C87C63" w:rsidRDefault="00CB2DF3" w:rsidP="008A462E">
            <w:r w:rsidRPr="00C87C63">
              <w:t>Kısa İsim</w:t>
            </w:r>
          </w:p>
          <w:p w14:paraId="44254EBD" w14:textId="77777777" w:rsidR="00CB14CC" w:rsidRDefault="00CB14CC" w:rsidP="00CB14CC">
            <w:r>
              <w:t>7/1979</w:t>
            </w:r>
          </w:p>
          <w:p w14:paraId="664A90F5" w14:textId="77777777" w:rsidR="00CB14CC" w:rsidRDefault="00CB14CC" w:rsidP="00CB14CC">
            <w:r>
              <w:t xml:space="preserve">    3/1982</w:t>
            </w:r>
          </w:p>
          <w:p w14:paraId="55A80136" w14:textId="77777777" w:rsidR="00CB14CC" w:rsidRDefault="00CB14CC" w:rsidP="00CB14CC">
            <w:r>
              <w:t xml:space="preserve">  12/1982</w:t>
            </w:r>
          </w:p>
          <w:p w14:paraId="29435846" w14:textId="77777777" w:rsidR="00CB14CC" w:rsidRDefault="00CB14CC" w:rsidP="00CB14CC">
            <w:r>
              <w:t xml:space="preserve">  44/1982</w:t>
            </w:r>
          </w:p>
          <w:p w14:paraId="179E3F3D" w14:textId="77777777" w:rsidR="00CB14CC" w:rsidRDefault="00CB14CC" w:rsidP="00CB14CC">
            <w:r>
              <w:t xml:space="preserve">  42/1983</w:t>
            </w:r>
          </w:p>
          <w:p w14:paraId="2CECB76A" w14:textId="77777777" w:rsidR="00CB14CC" w:rsidRDefault="00CB14CC" w:rsidP="00CB14CC">
            <w:r>
              <w:t xml:space="preserve">    5/1984</w:t>
            </w:r>
          </w:p>
          <w:p w14:paraId="10453673" w14:textId="77777777" w:rsidR="00CB14CC" w:rsidRDefault="00CB14CC" w:rsidP="00CB14CC">
            <w:r>
              <w:t xml:space="preserve">  29/1984</w:t>
            </w:r>
          </w:p>
          <w:p w14:paraId="4A46A48E" w14:textId="77777777" w:rsidR="00CB14CC" w:rsidRDefault="00CB14CC" w:rsidP="00CB14CC">
            <w:r>
              <w:t xml:space="preserve">  50/1984</w:t>
            </w:r>
          </w:p>
          <w:p w14:paraId="1323C011" w14:textId="77777777" w:rsidR="00CB14CC" w:rsidRDefault="00CB14CC" w:rsidP="00CB14CC">
            <w:r>
              <w:t xml:space="preserve">    2/1985</w:t>
            </w:r>
          </w:p>
          <w:p w14:paraId="5D8C15E7" w14:textId="77777777" w:rsidR="00CB14CC" w:rsidRDefault="00CB14CC" w:rsidP="00CB14CC">
            <w:r>
              <w:t xml:space="preserve">  10/1986</w:t>
            </w:r>
          </w:p>
          <w:p w14:paraId="623134EE" w14:textId="77777777" w:rsidR="00CB14CC" w:rsidRDefault="00CB14CC" w:rsidP="00CB14CC">
            <w:r>
              <w:t xml:space="preserve">  13/1986</w:t>
            </w:r>
          </w:p>
          <w:p w14:paraId="14C86B86" w14:textId="77777777" w:rsidR="00CB14CC" w:rsidRDefault="00CB14CC" w:rsidP="00CB14CC">
            <w:r>
              <w:t xml:space="preserve">  30/1986</w:t>
            </w:r>
          </w:p>
          <w:p w14:paraId="67D1BE15" w14:textId="77777777" w:rsidR="00CB14CC" w:rsidRDefault="00CB14CC" w:rsidP="00CB14CC">
            <w:r>
              <w:t xml:space="preserve">  31/1987</w:t>
            </w:r>
          </w:p>
          <w:p w14:paraId="747613A0" w14:textId="77777777" w:rsidR="00CB14CC" w:rsidRDefault="00CB14CC" w:rsidP="00CB14CC">
            <w:r>
              <w:t xml:space="preserve">  11/1988</w:t>
            </w:r>
          </w:p>
          <w:p w14:paraId="70DBE5D2" w14:textId="77777777" w:rsidR="00CB14CC" w:rsidRDefault="00CB14CC" w:rsidP="00CB14CC">
            <w:r>
              <w:t xml:space="preserve">  33/1988</w:t>
            </w:r>
          </w:p>
          <w:p w14:paraId="3F0C9D81" w14:textId="77777777" w:rsidR="00CB14CC" w:rsidRDefault="00CB14CC" w:rsidP="00CB14CC">
            <w:r>
              <w:t xml:space="preserve">  13/1989</w:t>
            </w:r>
          </w:p>
          <w:p w14:paraId="62032D36" w14:textId="77777777" w:rsidR="00CB14CC" w:rsidRDefault="00CB14CC" w:rsidP="00CB14CC">
            <w:r>
              <w:t xml:space="preserve">  34/1989</w:t>
            </w:r>
          </w:p>
          <w:p w14:paraId="2EEA582B" w14:textId="77777777" w:rsidR="00CB14CC" w:rsidRDefault="00CB14CC" w:rsidP="00CB14CC">
            <w:r>
              <w:t xml:space="preserve">  73/1989</w:t>
            </w:r>
          </w:p>
          <w:p w14:paraId="6F454482" w14:textId="77777777" w:rsidR="00CB14CC" w:rsidRDefault="00CB14CC" w:rsidP="00CB14CC">
            <w:r>
              <w:t xml:space="preserve">    8/1990</w:t>
            </w:r>
          </w:p>
          <w:p w14:paraId="4F6215BA" w14:textId="77777777" w:rsidR="00CB14CC" w:rsidRDefault="00CB14CC" w:rsidP="00CB14CC">
            <w:r>
              <w:t xml:space="preserve">  19/1990</w:t>
            </w:r>
          </w:p>
          <w:p w14:paraId="00E86CFF" w14:textId="77777777" w:rsidR="00CB14CC" w:rsidRDefault="00CB14CC" w:rsidP="00CB14CC">
            <w:r>
              <w:t xml:space="preserve">  42/1990</w:t>
            </w:r>
          </w:p>
          <w:p w14:paraId="6FAA1FBE" w14:textId="77777777" w:rsidR="00CB14CC" w:rsidRDefault="00CB14CC" w:rsidP="00CB14CC">
            <w:r>
              <w:t xml:space="preserve">  49/1990</w:t>
            </w:r>
          </w:p>
          <w:p w14:paraId="6C90A333" w14:textId="77777777" w:rsidR="00CB14CC" w:rsidRDefault="00CB14CC" w:rsidP="00CB14CC">
            <w:r>
              <w:t xml:space="preserve">  11/1991</w:t>
            </w:r>
          </w:p>
          <w:p w14:paraId="03D1C58E" w14:textId="77777777" w:rsidR="00CB14CC" w:rsidRDefault="00CB14CC" w:rsidP="00CB14CC">
            <w:r>
              <w:t xml:space="preserve">  85/1991</w:t>
            </w:r>
          </w:p>
          <w:p w14:paraId="21948CF7" w14:textId="77777777" w:rsidR="00CB14CC" w:rsidRDefault="00CB14CC" w:rsidP="00CB14CC">
            <w:r>
              <w:t xml:space="preserve">  11/1992</w:t>
            </w:r>
          </w:p>
          <w:p w14:paraId="5AF091EE" w14:textId="19AC549E" w:rsidR="00CB14CC" w:rsidRDefault="00CB14CC" w:rsidP="00CB14CC">
            <w:r>
              <w:t xml:space="preserve">  35/1992</w:t>
            </w:r>
          </w:p>
          <w:p w14:paraId="5A1B4C1F" w14:textId="77777777" w:rsidR="00CB14CC" w:rsidRDefault="00CB14CC" w:rsidP="00CB14CC">
            <w:r>
              <w:t xml:space="preserve">    3/1993</w:t>
            </w:r>
          </w:p>
          <w:p w14:paraId="64443A58" w14:textId="77777777" w:rsidR="00CB14CC" w:rsidRDefault="00CB14CC" w:rsidP="00CB14CC">
            <w:r>
              <w:t xml:space="preserve">  62/1993</w:t>
            </w:r>
          </w:p>
          <w:p w14:paraId="287F3031" w14:textId="77777777" w:rsidR="00CB14CC" w:rsidRDefault="00CB14CC" w:rsidP="00CB14CC">
            <w:r>
              <w:t xml:space="preserve">  10/1994</w:t>
            </w:r>
          </w:p>
          <w:p w14:paraId="326882B2" w14:textId="77777777" w:rsidR="00CB14CC" w:rsidRDefault="00CB14CC" w:rsidP="00CB14CC">
            <w:r>
              <w:t xml:space="preserve">  15/1994</w:t>
            </w:r>
          </w:p>
          <w:p w14:paraId="6E6AB7A9" w14:textId="77777777" w:rsidR="00CB14CC" w:rsidRDefault="00CB14CC" w:rsidP="00CB14CC">
            <w:r>
              <w:t xml:space="preserve">  53/1994</w:t>
            </w:r>
          </w:p>
          <w:p w14:paraId="0F14B5CD" w14:textId="77777777" w:rsidR="00CB14CC" w:rsidRDefault="00CB14CC" w:rsidP="00CB14CC">
            <w:r>
              <w:t xml:space="preserve">  18/1995</w:t>
            </w:r>
          </w:p>
          <w:p w14:paraId="288F2010" w14:textId="77777777" w:rsidR="00CB14CC" w:rsidRDefault="00CB14CC" w:rsidP="00CB14CC">
            <w:r>
              <w:t xml:space="preserve">  12/1996</w:t>
            </w:r>
          </w:p>
          <w:p w14:paraId="15CDCE32" w14:textId="77777777" w:rsidR="00CB14CC" w:rsidRDefault="00CB14CC" w:rsidP="00CB14CC">
            <w:r>
              <w:t xml:space="preserve">  19/1996</w:t>
            </w:r>
          </w:p>
          <w:p w14:paraId="136C197A" w14:textId="77777777" w:rsidR="00CB14CC" w:rsidRDefault="00CB14CC" w:rsidP="00CB14CC">
            <w:r>
              <w:t xml:space="preserve">  32/1996</w:t>
            </w:r>
          </w:p>
          <w:p w14:paraId="351A1179" w14:textId="77777777" w:rsidR="00CB14CC" w:rsidRDefault="00CB14CC" w:rsidP="00CB14CC">
            <w:r>
              <w:t xml:space="preserve">  16/1997</w:t>
            </w:r>
          </w:p>
          <w:p w14:paraId="441D129E" w14:textId="77777777" w:rsidR="00CB14CC" w:rsidRDefault="00CB14CC" w:rsidP="00CB14CC">
            <w:r>
              <w:t xml:space="preserve">  24/1997</w:t>
            </w:r>
          </w:p>
          <w:p w14:paraId="2A601210" w14:textId="77777777" w:rsidR="00CB14CC" w:rsidRDefault="00CB14CC" w:rsidP="00CB14CC">
            <w:r>
              <w:t xml:space="preserve">  13/1998</w:t>
            </w:r>
          </w:p>
          <w:p w14:paraId="42A1C169" w14:textId="77777777" w:rsidR="00CB14CC" w:rsidRDefault="00CB14CC" w:rsidP="00CB14CC">
            <w:r>
              <w:t xml:space="preserve">  40/1998</w:t>
            </w:r>
          </w:p>
          <w:p w14:paraId="5285AB91" w14:textId="77777777" w:rsidR="00CB14CC" w:rsidRDefault="00CB14CC" w:rsidP="00CB14CC">
            <w:r>
              <w:t xml:space="preserve">    6/1999</w:t>
            </w:r>
          </w:p>
          <w:p w14:paraId="6D13AC05" w14:textId="77777777" w:rsidR="00CB14CC" w:rsidRDefault="00CB14CC" w:rsidP="00CB14CC">
            <w:r>
              <w:lastRenderedPageBreak/>
              <w:t xml:space="preserve">  48/1999</w:t>
            </w:r>
          </w:p>
          <w:p w14:paraId="26BB2D8F" w14:textId="77777777" w:rsidR="00CB14CC" w:rsidRDefault="00CB14CC" w:rsidP="00CB14CC">
            <w:r>
              <w:t xml:space="preserve">    4/2000</w:t>
            </w:r>
          </w:p>
          <w:p w14:paraId="75CF9698" w14:textId="77777777" w:rsidR="00CB14CC" w:rsidRDefault="00CB14CC" w:rsidP="00CB14CC">
            <w:r>
              <w:t xml:space="preserve">  15/2000</w:t>
            </w:r>
          </w:p>
          <w:p w14:paraId="37D148A5" w14:textId="77777777" w:rsidR="00CB14CC" w:rsidRDefault="00CB14CC" w:rsidP="00CB14CC">
            <w:r>
              <w:t xml:space="preserve">  20/2001</w:t>
            </w:r>
          </w:p>
          <w:p w14:paraId="72DCAC7E" w14:textId="77777777" w:rsidR="00CB14CC" w:rsidRDefault="00CB14CC" w:rsidP="00CB14CC">
            <w:r>
              <w:t xml:space="preserve">  43/2001</w:t>
            </w:r>
          </w:p>
          <w:p w14:paraId="16D253B7" w14:textId="0336EE2B" w:rsidR="00CB14CC" w:rsidRDefault="00CB14CC" w:rsidP="00CB14CC">
            <w:r>
              <w:t xml:space="preserve">  25/2002</w:t>
            </w:r>
          </w:p>
          <w:p w14:paraId="1DE2435D" w14:textId="6D5BA702" w:rsidR="00CB14CC" w:rsidRDefault="00CB14CC" w:rsidP="00CB14CC">
            <w:r>
              <w:t xml:space="preserve">  60/2002</w:t>
            </w:r>
          </w:p>
          <w:p w14:paraId="0C3EFCE3" w14:textId="77777777" w:rsidR="00CB14CC" w:rsidRDefault="00CB14CC" w:rsidP="00CB14CC">
            <w:r>
              <w:t xml:space="preserve">   3/2003</w:t>
            </w:r>
          </w:p>
          <w:p w14:paraId="6778497C" w14:textId="77777777" w:rsidR="00CB14CC" w:rsidRDefault="00CB14CC" w:rsidP="00CB14CC">
            <w:r>
              <w:t xml:space="preserve"> 43/2003</w:t>
            </w:r>
          </w:p>
          <w:p w14:paraId="0CA7FCA8" w14:textId="77777777" w:rsidR="00CB14CC" w:rsidRDefault="00CB14CC" w:rsidP="00CB14CC">
            <w:r>
              <w:t xml:space="preserve"> 63/2003</w:t>
            </w:r>
          </w:p>
          <w:p w14:paraId="23946E02" w14:textId="77777777" w:rsidR="00CB14CC" w:rsidRDefault="00CB14CC" w:rsidP="00CB14CC">
            <w:r>
              <w:t xml:space="preserve"> 69/2003</w:t>
            </w:r>
          </w:p>
          <w:p w14:paraId="104D0651" w14:textId="77777777" w:rsidR="00CB14CC" w:rsidRDefault="00CB14CC" w:rsidP="00CB14CC">
            <w:r>
              <w:t xml:space="preserve">   5/2004</w:t>
            </w:r>
          </w:p>
          <w:p w14:paraId="75F7FEC1" w14:textId="77777777" w:rsidR="00CB14CC" w:rsidRDefault="00CB14CC" w:rsidP="00CB14CC">
            <w:r>
              <w:t xml:space="preserve"> 35/2004</w:t>
            </w:r>
          </w:p>
          <w:p w14:paraId="45F52E32" w14:textId="77777777" w:rsidR="00CB14CC" w:rsidRDefault="00CB14CC" w:rsidP="00CB14CC">
            <w:r>
              <w:t xml:space="preserve"> 20/2005</w:t>
            </w:r>
          </w:p>
          <w:p w14:paraId="69FA0635" w14:textId="77777777" w:rsidR="00CB14CC" w:rsidRDefault="00CB14CC" w:rsidP="00CB14CC">
            <w:r>
              <w:t xml:space="preserve"> 32/2005</w:t>
            </w:r>
          </w:p>
          <w:p w14:paraId="37CD1B7C" w14:textId="77777777" w:rsidR="00CB14CC" w:rsidRDefault="00CB14CC" w:rsidP="00CB14CC">
            <w:r>
              <w:t xml:space="preserve"> 59/2005</w:t>
            </w:r>
          </w:p>
          <w:p w14:paraId="52A44407" w14:textId="77777777" w:rsidR="00CB14CC" w:rsidRDefault="00CB14CC" w:rsidP="00CB14CC">
            <w:r>
              <w:t xml:space="preserve"> 10/2006</w:t>
            </w:r>
          </w:p>
          <w:p w14:paraId="02D2B489" w14:textId="77777777" w:rsidR="00CB14CC" w:rsidRDefault="00CB14CC" w:rsidP="00CB14CC">
            <w:r>
              <w:t xml:space="preserve"> 44/2006</w:t>
            </w:r>
          </w:p>
          <w:p w14:paraId="6864A623" w14:textId="77777777" w:rsidR="00CB14CC" w:rsidRDefault="00CB14CC" w:rsidP="00CB14CC">
            <w:r>
              <w:t xml:space="preserve"> 72/2006</w:t>
            </w:r>
          </w:p>
          <w:p w14:paraId="784679A9" w14:textId="77777777" w:rsidR="00CB14CC" w:rsidRDefault="00CB14CC" w:rsidP="00CB14CC">
            <w:r>
              <w:t xml:space="preserve">   3/2007</w:t>
            </w:r>
          </w:p>
          <w:p w14:paraId="42B63D48" w14:textId="77777777" w:rsidR="00CB14CC" w:rsidRDefault="00CB14CC" w:rsidP="00CB14CC">
            <w:r>
              <w:t xml:space="preserve"> 57/2007</w:t>
            </w:r>
          </w:p>
          <w:p w14:paraId="6459DAC8" w14:textId="77777777" w:rsidR="00CB14CC" w:rsidRDefault="00CB14CC" w:rsidP="00CB14CC">
            <w:r>
              <w:t xml:space="preserve"> 97/2007</w:t>
            </w:r>
          </w:p>
          <w:p w14:paraId="662B0C83" w14:textId="77777777" w:rsidR="00CB14CC" w:rsidRDefault="00CB14CC" w:rsidP="00CB14CC">
            <w:r>
              <w:t xml:space="preserve"> 11/2008</w:t>
            </w:r>
          </w:p>
          <w:p w14:paraId="1C8BDFF9" w14:textId="77777777" w:rsidR="00CB14CC" w:rsidRDefault="00CB14CC" w:rsidP="00CB14CC">
            <w:r>
              <w:t xml:space="preserve"> 23/2008</w:t>
            </w:r>
          </w:p>
          <w:p w14:paraId="3D1C19E4" w14:textId="77777777" w:rsidR="00CB14CC" w:rsidRDefault="00CB14CC" w:rsidP="00CB14CC">
            <w:r>
              <w:t xml:space="preserve"> 34/2008</w:t>
            </w:r>
          </w:p>
          <w:p w14:paraId="7A1A0FC6" w14:textId="77777777" w:rsidR="00CB14CC" w:rsidRDefault="00CB14CC" w:rsidP="00CB14CC">
            <w:r>
              <w:t xml:space="preserve"> 54/2008</w:t>
            </w:r>
          </w:p>
          <w:p w14:paraId="54DC17DD" w14:textId="77777777" w:rsidR="00CB14CC" w:rsidRDefault="00CB14CC" w:rsidP="00CB14CC">
            <w:r>
              <w:t xml:space="preserve"> 82/2009</w:t>
            </w:r>
          </w:p>
          <w:p w14:paraId="1A8C59B8" w14:textId="77777777" w:rsidR="00CB14CC" w:rsidRDefault="00CB14CC" w:rsidP="00CB14CC">
            <w:r>
              <w:t xml:space="preserve"> 48/2010</w:t>
            </w:r>
          </w:p>
          <w:p w14:paraId="155AB8EB" w14:textId="77777777" w:rsidR="00CB14CC" w:rsidRDefault="00CB14CC" w:rsidP="00CB14CC">
            <w:r>
              <w:t xml:space="preserve">   3/2011</w:t>
            </w:r>
          </w:p>
          <w:p w14:paraId="5474D760" w14:textId="77777777" w:rsidR="00CB14CC" w:rsidRDefault="00CB14CC" w:rsidP="00CB14CC">
            <w:r>
              <w:t xml:space="preserve"> 13/2011</w:t>
            </w:r>
          </w:p>
          <w:p w14:paraId="21776D12" w14:textId="77777777" w:rsidR="00CB14CC" w:rsidRDefault="00CB14CC" w:rsidP="00CB14CC">
            <w:r>
              <w:t xml:space="preserve"> 20/2013</w:t>
            </w:r>
          </w:p>
          <w:p w14:paraId="7DA0144A" w14:textId="77777777" w:rsidR="00CB14CC" w:rsidRDefault="00CB14CC" w:rsidP="00CB14CC">
            <w:r>
              <w:t xml:space="preserve"> 34/2013</w:t>
            </w:r>
          </w:p>
          <w:p w14:paraId="01376967" w14:textId="77777777" w:rsidR="00CB14CC" w:rsidRDefault="00CB14CC" w:rsidP="00CB14CC">
            <w:r>
              <w:t xml:space="preserve"> 19/2014</w:t>
            </w:r>
          </w:p>
          <w:p w14:paraId="45D3341D" w14:textId="77777777" w:rsidR="00CB14CC" w:rsidRDefault="00CB14CC" w:rsidP="00CB14CC">
            <w:r>
              <w:t xml:space="preserve">   3/2015</w:t>
            </w:r>
          </w:p>
          <w:p w14:paraId="52831001" w14:textId="77777777" w:rsidR="00CB14CC" w:rsidRDefault="00CB14CC" w:rsidP="00CB14CC">
            <w:r>
              <w:t xml:space="preserve"> 48/2015</w:t>
            </w:r>
          </w:p>
          <w:p w14:paraId="0909E902" w14:textId="77777777" w:rsidR="00CB14CC" w:rsidRDefault="00CB14CC" w:rsidP="00CB14CC">
            <w:r>
              <w:t xml:space="preserve"> 17/2017</w:t>
            </w:r>
          </w:p>
          <w:p w14:paraId="5C3CA1C1" w14:textId="77777777" w:rsidR="00CB14CC" w:rsidRDefault="00CB14CC" w:rsidP="00CB14CC">
            <w:r>
              <w:t xml:space="preserve"> 46/2017</w:t>
            </w:r>
          </w:p>
          <w:p w14:paraId="1D165384" w14:textId="77777777" w:rsidR="00CB14CC" w:rsidRDefault="00CB14CC" w:rsidP="00CB14CC">
            <w:r>
              <w:t xml:space="preserve"> 12/2018</w:t>
            </w:r>
          </w:p>
          <w:p w14:paraId="7C8E9FBA" w14:textId="77777777" w:rsidR="00CB14CC" w:rsidRDefault="00CB14CC" w:rsidP="00CB14CC">
            <w:r>
              <w:t xml:space="preserve"> 19/2018</w:t>
            </w:r>
          </w:p>
          <w:p w14:paraId="0692AC4B" w14:textId="77777777" w:rsidR="00CB14CC" w:rsidRDefault="00CB14CC" w:rsidP="00CB14CC">
            <w:r>
              <w:t xml:space="preserve"> 39/2023</w:t>
            </w:r>
          </w:p>
          <w:p w14:paraId="78C78710" w14:textId="1B70791A" w:rsidR="00CB2DF3" w:rsidRPr="00C87C63" w:rsidRDefault="00CB14CC" w:rsidP="00CB14CC">
            <w:r>
              <w:t xml:space="preserve"> 69/2023</w:t>
            </w:r>
          </w:p>
        </w:tc>
        <w:tc>
          <w:tcPr>
            <w:tcW w:w="7626" w:type="dxa"/>
          </w:tcPr>
          <w:p w14:paraId="199564E1" w14:textId="18C5EDF6" w:rsidR="00CB2DF3" w:rsidRPr="00C87C63" w:rsidRDefault="00CB2DF3" w:rsidP="00CD02C3">
            <w:pPr>
              <w:jc w:val="both"/>
            </w:pPr>
            <w:r w:rsidRPr="00C87C63">
              <w:lastRenderedPageBreak/>
              <w:t>1.</w:t>
            </w:r>
            <w:r w:rsidR="00604245">
              <w:t xml:space="preserve"> </w:t>
            </w:r>
            <w:r w:rsidRPr="00C87C63">
              <w:t>Bu Yasa, Kamu Görevlileri (Değişiklik) Yasası olarak isimlendirilir ve aşağıda “Esas Yasa” olarak anılan Kamu Görevlileri Yasası ile birlikte okunur.</w:t>
            </w:r>
          </w:p>
          <w:p w14:paraId="134BCD27" w14:textId="77777777" w:rsidR="00CB2DF3" w:rsidRPr="00C87C63" w:rsidRDefault="00CB2DF3" w:rsidP="008A462E">
            <w:pPr>
              <w:jc w:val="both"/>
            </w:pPr>
          </w:p>
        </w:tc>
      </w:tr>
    </w:tbl>
    <w:p w14:paraId="3BE7249A" w14:textId="77777777" w:rsidR="007766AA" w:rsidRDefault="007766AA">
      <w:r>
        <w:lastRenderedPageBreak/>
        <w:br w:type="page"/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88"/>
        <w:gridCol w:w="255"/>
        <w:gridCol w:w="1559"/>
        <w:gridCol w:w="567"/>
        <w:gridCol w:w="567"/>
        <w:gridCol w:w="4678"/>
      </w:tblGrid>
      <w:tr w:rsidR="009B093E" w:rsidRPr="00C87C63" w14:paraId="0793C255" w14:textId="77777777" w:rsidTr="00775F46">
        <w:tc>
          <w:tcPr>
            <w:tcW w:w="1588" w:type="dxa"/>
          </w:tcPr>
          <w:p w14:paraId="6396FB98" w14:textId="6F9CD773" w:rsidR="009B093E" w:rsidRPr="002334CD" w:rsidRDefault="009B093E" w:rsidP="0050649F">
            <w:bookmarkStart w:id="0" w:name="_GoBack"/>
            <w:bookmarkEnd w:id="0"/>
            <w:r w:rsidRPr="00C87C63">
              <w:lastRenderedPageBreak/>
              <w:t>Esas Yasa</w:t>
            </w:r>
            <w:r w:rsidR="002334CD">
              <w:t xml:space="preserve">ya </w:t>
            </w:r>
            <w:r w:rsidR="0050649F">
              <w:t xml:space="preserve">Yeni </w:t>
            </w:r>
            <w:r w:rsidR="002334CD">
              <w:t xml:space="preserve">Geçici 22’nci </w:t>
            </w:r>
          </w:p>
        </w:tc>
        <w:tc>
          <w:tcPr>
            <w:tcW w:w="7626" w:type="dxa"/>
            <w:gridSpan w:val="5"/>
          </w:tcPr>
          <w:p w14:paraId="3152E382" w14:textId="147E2AB0" w:rsidR="00CB1E4C" w:rsidRPr="00C87C63" w:rsidRDefault="00CB2DF3" w:rsidP="009B093E">
            <w:pPr>
              <w:jc w:val="both"/>
            </w:pPr>
            <w:r w:rsidRPr="00C87C63">
              <w:t>2</w:t>
            </w:r>
            <w:r w:rsidR="0047659B">
              <w:t>.</w:t>
            </w:r>
            <w:r w:rsidR="00AB6B29">
              <w:t xml:space="preserve"> </w:t>
            </w:r>
            <w:r w:rsidR="0047659B">
              <w:t xml:space="preserve">Esas Yasa, </w:t>
            </w:r>
            <w:r w:rsidR="000C7413">
              <w:t>Geçici 21’inci M</w:t>
            </w:r>
            <w:r w:rsidR="007D5D9A">
              <w:t>addesinden hemen sonr</w:t>
            </w:r>
            <w:r w:rsidR="0050649F">
              <w:t>a aşağıdaki yeni Geçici 22’nci M</w:t>
            </w:r>
            <w:r w:rsidR="007D5D9A">
              <w:t>adde eklenmek suretiyle değiştirilir:</w:t>
            </w:r>
          </w:p>
          <w:p w14:paraId="53EEB49D" w14:textId="77777777" w:rsidR="009B093E" w:rsidRPr="00C87C63" w:rsidRDefault="009B093E" w:rsidP="009B093E">
            <w:pPr>
              <w:jc w:val="both"/>
            </w:pPr>
          </w:p>
        </w:tc>
      </w:tr>
      <w:tr w:rsidR="00E726D6" w:rsidRPr="00C87C63" w14:paraId="5870B61A" w14:textId="77777777" w:rsidTr="00B861D0">
        <w:tc>
          <w:tcPr>
            <w:tcW w:w="1843" w:type="dxa"/>
            <w:gridSpan w:val="2"/>
          </w:tcPr>
          <w:p w14:paraId="693389B8" w14:textId="6F024E96" w:rsidR="00E726D6" w:rsidRPr="00C87C63" w:rsidRDefault="0050649F" w:rsidP="00E726D6">
            <w:r w:rsidRPr="00C87C63">
              <w:t xml:space="preserve">Maddenin </w:t>
            </w:r>
            <w:r w:rsidR="00B861D0">
              <w:t>Eklenmesi</w:t>
            </w:r>
          </w:p>
        </w:tc>
        <w:tc>
          <w:tcPr>
            <w:tcW w:w="1559" w:type="dxa"/>
          </w:tcPr>
          <w:p w14:paraId="47385E68" w14:textId="77777777" w:rsidR="000C7413" w:rsidRDefault="00D33A7D" w:rsidP="00D33A7D">
            <w:pPr>
              <w:rPr>
                <w:color w:val="000000"/>
              </w:rPr>
            </w:pPr>
            <w:r>
              <w:rPr>
                <w:color w:val="000000"/>
              </w:rPr>
              <w:t>“</w:t>
            </w:r>
            <w:r w:rsidR="00E726D6">
              <w:rPr>
                <w:color w:val="000000"/>
              </w:rPr>
              <w:t>Geçici Madde</w:t>
            </w:r>
            <w:r>
              <w:rPr>
                <w:color w:val="000000"/>
              </w:rPr>
              <w:t xml:space="preserve"> </w:t>
            </w:r>
          </w:p>
          <w:p w14:paraId="31E17B6D" w14:textId="588A85A9" w:rsidR="00E726D6" w:rsidRPr="00952DE8" w:rsidRDefault="00952DE8" w:rsidP="00D33A7D">
            <w:r>
              <w:rPr>
                <w:color w:val="000000"/>
              </w:rPr>
              <w:t>2024 Yılı</w:t>
            </w:r>
            <w:r w:rsidR="00D33A7D">
              <w:rPr>
                <w:color w:val="000000"/>
              </w:rPr>
              <w:t xml:space="preserve"> </w:t>
            </w:r>
            <w:r w:rsidR="00E726D6">
              <w:rPr>
                <w:color w:val="000000"/>
              </w:rPr>
              <w:t>Hayat Pahalılığı Ödeneği Hakkı</w:t>
            </w:r>
            <w:r>
              <w:rPr>
                <w:color w:val="000000"/>
              </w:rPr>
              <w:t>nın Uygulanması</w:t>
            </w:r>
          </w:p>
        </w:tc>
        <w:tc>
          <w:tcPr>
            <w:tcW w:w="567" w:type="dxa"/>
          </w:tcPr>
          <w:p w14:paraId="3248C004" w14:textId="041DB516" w:rsidR="00E726D6" w:rsidRPr="00E726D6" w:rsidRDefault="00E726D6" w:rsidP="00D61245">
            <w:pPr>
              <w:jc w:val="center"/>
            </w:pPr>
            <w:r>
              <w:t>22.</w:t>
            </w:r>
          </w:p>
        </w:tc>
        <w:tc>
          <w:tcPr>
            <w:tcW w:w="567" w:type="dxa"/>
          </w:tcPr>
          <w:p w14:paraId="416E1A92" w14:textId="18D86B25" w:rsidR="00E726D6" w:rsidRPr="00E726D6" w:rsidRDefault="00E726D6" w:rsidP="00D61245">
            <w:pPr>
              <w:spacing w:after="200" w:line="276" w:lineRule="auto"/>
              <w:jc w:val="center"/>
              <w:rPr>
                <w:spacing w:val="-2"/>
              </w:rPr>
            </w:pPr>
            <w:r>
              <w:t>(1)</w:t>
            </w:r>
          </w:p>
        </w:tc>
        <w:tc>
          <w:tcPr>
            <w:tcW w:w="4678" w:type="dxa"/>
          </w:tcPr>
          <w:p w14:paraId="5FF2B737" w14:textId="7D6BA1F4" w:rsidR="007766AA" w:rsidRDefault="00E726D6" w:rsidP="00D61245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Esas Yasanın 25’inci madde</w:t>
            </w:r>
            <w:r w:rsidR="00846EB6">
              <w:rPr>
                <w:spacing w:val="-2"/>
              </w:rPr>
              <w:t>si</w:t>
            </w:r>
            <w:r>
              <w:rPr>
                <w:spacing w:val="-2"/>
              </w:rPr>
              <w:t xml:space="preserve"> kurallarına bakılmaksızın</w:t>
            </w:r>
            <w:r w:rsidR="00846EB6">
              <w:rPr>
                <w:spacing w:val="-2"/>
              </w:rPr>
              <w:t>,</w:t>
            </w:r>
            <w:r>
              <w:rPr>
                <w:spacing w:val="-2"/>
              </w:rPr>
              <w:t xml:space="preserve"> b</w:t>
            </w:r>
            <w:r w:rsidRPr="00A737D7">
              <w:rPr>
                <w:spacing w:val="-2"/>
              </w:rPr>
              <w:t>u Yasaya bağlı kurumlarda çalışan ve emekliye ayr</w:t>
            </w:r>
            <w:r w:rsidR="00952DE8">
              <w:rPr>
                <w:spacing w:val="-2"/>
              </w:rPr>
              <w:t>ı</w:t>
            </w:r>
            <w:r w:rsidRPr="00A737D7">
              <w:rPr>
                <w:spacing w:val="-2"/>
              </w:rPr>
              <w:t>lmış olan her kamu görevlisine,</w:t>
            </w:r>
            <w:r w:rsidR="00846EB6">
              <w:rPr>
                <w:spacing w:val="-2"/>
              </w:rPr>
              <w:t xml:space="preserve"> Esas Y</w:t>
            </w:r>
            <w:r w:rsidRPr="00A737D7">
              <w:rPr>
                <w:spacing w:val="-2"/>
              </w:rPr>
              <w:t>asanın</w:t>
            </w:r>
            <w:r w:rsidR="00846EB6">
              <w:rPr>
                <w:spacing w:val="-2"/>
              </w:rPr>
              <w:t xml:space="preserve"> 113’üncü maddesine bağlı I.</w:t>
            </w:r>
            <w:r w:rsidRPr="00A737D7">
              <w:rPr>
                <w:spacing w:val="-2"/>
              </w:rPr>
              <w:t xml:space="preserve"> Cetvel</w:t>
            </w:r>
            <w:r w:rsidR="00846EB6">
              <w:rPr>
                <w:spacing w:val="-2"/>
              </w:rPr>
              <w:t>’</w:t>
            </w:r>
            <w:r w:rsidRPr="00A737D7">
              <w:rPr>
                <w:spacing w:val="-2"/>
              </w:rPr>
              <w:t xml:space="preserve">de öngörülen maaşlara, 1 Ocak 2024 tarihinden itibaren İstatistik Kurumu tarafından yayımlanacak Tüketici Fiyatları Genel Endeksinde Aralık ayı esasına göre oluşacak artış farkı kadar bir miktar </w:t>
            </w:r>
            <w:r>
              <w:rPr>
                <w:spacing w:val="-2"/>
              </w:rPr>
              <w:t xml:space="preserve">dört </w:t>
            </w:r>
            <w:r w:rsidRPr="00A737D7">
              <w:rPr>
                <w:spacing w:val="-2"/>
              </w:rPr>
              <w:t>aylık dönemler halinde</w:t>
            </w:r>
            <w:r w:rsidR="00846EB6">
              <w:rPr>
                <w:spacing w:val="-2"/>
              </w:rPr>
              <w:t>,</w:t>
            </w:r>
            <w:r w:rsidRPr="00A737D7">
              <w:rPr>
                <w:spacing w:val="-2"/>
              </w:rPr>
              <w:t xml:space="preserve"> </w:t>
            </w:r>
            <w:r w:rsidR="002078B3">
              <w:rPr>
                <w:spacing w:val="-2"/>
              </w:rPr>
              <w:t>Mayıs 2024</w:t>
            </w:r>
            <w:r>
              <w:rPr>
                <w:spacing w:val="-2"/>
              </w:rPr>
              <w:t>, Eylül 2024 ve Ocak 2025</w:t>
            </w:r>
            <w:r w:rsidRPr="00A737D7">
              <w:rPr>
                <w:spacing w:val="-2"/>
              </w:rPr>
              <w:t xml:space="preserve"> aylarında olmak üzere </w:t>
            </w:r>
            <w:r>
              <w:rPr>
                <w:spacing w:val="-2"/>
              </w:rPr>
              <w:t>üç</w:t>
            </w:r>
            <w:r w:rsidRPr="00A737D7">
              <w:rPr>
                <w:spacing w:val="-2"/>
              </w:rPr>
              <w:t xml:space="preserve"> kez konsolide edilerek uygulanır</w:t>
            </w:r>
            <w:r>
              <w:rPr>
                <w:spacing w:val="-2"/>
              </w:rPr>
              <w:t>.</w:t>
            </w:r>
          </w:p>
          <w:p w14:paraId="79374576" w14:textId="1467D816" w:rsidR="00E726D6" w:rsidRPr="00E726D6" w:rsidRDefault="00AB6B29" w:rsidP="00D61245">
            <w:pPr>
              <w:jc w:val="both"/>
            </w:pPr>
            <w:r>
              <w:rPr>
                <w:spacing w:val="-2"/>
              </w:rPr>
              <w:t xml:space="preserve">          </w:t>
            </w:r>
            <w:r w:rsidR="00E726D6">
              <w:rPr>
                <w:spacing w:val="-2"/>
              </w:rPr>
              <w:t>Ancak Tüketici Fiyatları Genel Endeksinin eksi çıkması halinde, bu eksiler sonraki dönemlerde Tüketici Fiyatları Genel Endeksinde oluşacak artılardan düşürülerek uygulamaya devam edilir.</w:t>
            </w:r>
          </w:p>
        </w:tc>
      </w:tr>
      <w:tr w:rsidR="00D61245" w:rsidRPr="00C87C63" w14:paraId="7089C9A7" w14:textId="77777777" w:rsidTr="002C3CBA">
        <w:tc>
          <w:tcPr>
            <w:tcW w:w="1843" w:type="dxa"/>
            <w:gridSpan w:val="2"/>
            <w:vMerge w:val="restart"/>
          </w:tcPr>
          <w:p w14:paraId="5C4A0B05" w14:textId="77777777" w:rsidR="00D61245" w:rsidRPr="00C87C63" w:rsidRDefault="00D61245" w:rsidP="00E726D6"/>
        </w:tc>
        <w:tc>
          <w:tcPr>
            <w:tcW w:w="1559" w:type="dxa"/>
          </w:tcPr>
          <w:p w14:paraId="1F95A7A5" w14:textId="77777777" w:rsidR="00D61245" w:rsidRDefault="00D61245" w:rsidP="00E726D6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4B4D1CD6" w14:textId="77777777" w:rsidR="00D61245" w:rsidRDefault="00D61245" w:rsidP="00E726D6">
            <w:pPr>
              <w:jc w:val="both"/>
            </w:pPr>
          </w:p>
        </w:tc>
        <w:tc>
          <w:tcPr>
            <w:tcW w:w="567" w:type="dxa"/>
          </w:tcPr>
          <w:p w14:paraId="68582AE9" w14:textId="0D725B80" w:rsidR="00D61245" w:rsidRDefault="00D61245" w:rsidP="00D61245">
            <w:pPr>
              <w:spacing w:after="200" w:line="276" w:lineRule="auto"/>
              <w:jc w:val="center"/>
            </w:pPr>
            <w:r>
              <w:t>(2)</w:t>
            </w:r>
          </w:p>
        </w:tc>
        <w:tc>
          <w:tcPr>
            <w:tcW w:w="4678" w:type="dxa"/>
          </w:tcPr>
          <w:p w14:paraId="19731F70" w14:textId="20715FB1" w:rsidR="00D61245" w:rsidRDefault="00D61245" w:rsidP="00D61245">
            <w:pPr>
              <w:jc w:val="both"/>
              <w:rPr>
                <w:spacing w:val="-2"/>
              </w:rPr>
            </w:pPr>
            <w:r>
              <w:t>Yukarıdaki (1)’inci fıkra kuralları, Esas Yasanın 25’inci maddesinin (2)’nci fıkrası kapsamında bulunanlara da uygulanır.</w:t>
            </w:r>
          </w:p>
        </w:tc>
      </w:tr>
      <w:tr w:rsidR="00E726D6" w:rsidRPr="00C87C63" w14:paraId="3E1CE1DD" w14:textId="77777777" w:rsidTr="002C3CBA">
        <w:trPr>
          <w:trHeight w:val="876"/>
        </w:trPr>
        <w:tc>
          <w:tcPr>
            <w:tcW w:w="1843" w:type="dxa"/>
            <w:gridSpan w:val="2"/>
            <w:vMerge/>
          </w:tcPr>
          <w:p w14:paraId="1F1C30E7" w14:textId="68CC5DA6" w:rsidR="00E726D6" w:rsidRPr="00C87C63" w:rsidRDefault="00E726D6" w:rsidP="00E726D6"/>
        </w:tc>
        <w:tc>
          <w:tcPr>
            <w:tcW w:w="1559" w:type="dxa"/>
          </w:tcPr>
          <w:p w14:paraId="178CCB49" w14:textId="77777777" w:rsidR="00E726D6" w:rsidRDefault="00E726D6" w:rsidP="00AB6B29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0F5F804C" w14:textId="77777777" w:rsidR="00E726D6" w:rsidRDefault="00E726D6" w:rsidP="00AB6B29">
            <w:pPr>
              <w:jc w:val="both"/>
            </w:pPr>
          </w:p>
        </w:tc>
        <w:tc>
          <w:tcPr>
            <w:tcW w:w="567" w:type="dxa"/>
          </w:tcPr>
          <w:p w14:paraId="5DC98FBE" w14:textId="5A2FE241" w:rsidR="00E726D6" w:rsidRDefault="00D61245" w:rsidP="00D61245">
            <w:pPr>
              <w:spacing w:after="200"/>
              <w:jc w:val="center"/>
            </w:pPr>
            <w:r>
              <w:t>(3)</w:t>
            </w:r>
          </w:p>
        </w:tc>
        <w:tc>
          <w:tcPr>
            <w:tcW w:w="4678" w:type="dxa"/>
          </w:tcPr>
          <w:p w14:paraId="189C4557" w14:textId="645AC0EC" w:rsidR="00E726D6" w:rsidRDefault="00D61245" w:rsidP="00D61245">
            <w:pPr>
              <w:spacing w:after="200"/>
              <w:jc w:val="both"/>
              <w:rPr>
                <w:spacing w:val="-2"/>
              </w:rPr>
            </w:pPr>
            <w:r>
              <w:t>Söz konusu uygulamada kesirli rakamlardan dolayı gelebilecek sorunları</w:t>
            </w:r>
            <w:r w:rsidR="00B861D0">
              <w:t>n giderilmesinde Maliye İşleriy</w:t>
            </w:r>
            <w:r>
              <w:t>le Görevli Bakan yetkilidir.</w:t>
            </w:r>
            <w:r w:rsidR="00B861D0">
              <w:t>”</w:t>
            </w:r>
          </w:p>
        </w:tc>
      </w:tr>
      <w:tr w:rsidR="00AB6B29" w:rsidRPr="00C87C63" w14:paraId="1DA6408B" w14:textId="77777777" w:rsidTr="00E70387">
        <w:tc>
          <w:tcPr>
            <w:tcW w:w="1843" w:type="dxa"/>
            <w:gridSpan w:val="2"/>
          </w:tcPr>
          <w:p w14:paraId="0853E5D9" w14:textId="77777777" w:rsidR="00AB6B29" w:rsidRPr="00C87C63" w:rsidRDefault="00AB6B29" w:rsidP="00E726D6">
            <w:r w:rsidRPr="00C87C63">
              <w:t>Yürürlüğe Giriş</w:t>
            </w:r>
          </w:p>
        </w:tc>
        <w:tc>
          <w:tcPr>
            <w:tcW w:w="7371" w:type="dxa"/>
            <w:gridSpan w:val="4"/>
          </w:tcPr>
          <w:p w14:paraId="0777E559" w14:textId="6709F443" w:rsidR="00AB6B29" w:rsidRPr="00C87C63" w:rsidRDefault="00AB6B29" w:rsidP="00AB6B29">
            <w:r>
              <w:t>3</w:t>
            </w:r>
            <w:r w:rsidRPr="00C87C63">
              <w:t>.</w:t>
            </w:r>
            <w:r>
              <w:t xml:space="preserve"> </w:t>
            </w:r>
            <w:r w:rsidRPr="00C87C63">
              <w:t xml:space="preserve">Bu Yasa, </w:t>
            </w:r>
            <w:r>
              <w:t>1 Ocak 2024</w:t>
            </w:r>
            <w:r w:rsidRPr="00C87C63">
              <w:t xml:space="preserve"> tarih</w:t>
            </w:r>
            <w:r>
              <w:t>inden</w:t>
            </w:r>
            <w:r w:rsidRPr="00C87C63">
              <w:t xml:space="preserve"> başlayarak yürürlüğe girer.</w:t>
            </w:r>
          </w:p>
        </w:tc>
      </w:tr>
    </w:tbl>
    <w:p w14:paraId="363F310A" w14:textId="77777777" w:rsidR="00CA0C60" w:rsidRPr="00C87C63" w:rsidRDefault="00CA0C60"/>
    <w:sectPr w:rsidR="00CA0C60" w:rsidRPr="00C87C63" w:rsidSect="007766AA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91BA6"/>
    <w:multiLevelType w:val="hybridMultilevel"/>
    <w:tmpl w:val="B14AD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62543"/>
    <w:multiLevelType w:val="hybridMultilevel"/>
    <w:tmpl w:val="E98E6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E0ACC"/>
    <w:multiLevelType w:val="hybridMultilevel"/>
    <w:tmpl w:val="2A06A6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F59"/>
    <w:rsid w:val="00001F25"/>
    <w:rsid w:val="00012F0D"/>
    <w:rsid w:val="00027698"/>
    <w:rsid w:val="000468D7"/>
    <w:rsid w:val="000805EC"/>
    <w:rsid w:val="000B2AB7"/>
    <w:rsid w:val="000B42E9"/>
    <w:rsid w:val="000C1286"/>
    <w:rsid w:val="000C7413"/>
    <w:rsid w:val="000D5F43"/>
    <w:rsid w:val="000E233E"/>
    <w:rsid w:val="000E5AE2"/>
    <w:rsid w:val="000F495C"/>
    <w:rsid w:val="00140780"/>
    <w:rsid w:val="00146512"/>
    <w:rsid w:val="0018660E"/>
    <w:rsid w:val="001919C7"/>
    <w:rsid w:val="002078B3"/>
    <w:rsid w:val="002236CE"/>
    <w:rsid w:val="00225D21"/>
    <w:rsid w:val="00230677"/>
    <w:rsid w:val="002334CD"/>
    <w:rsid w:val="00242C0C"/>
    <w:rsid w:val="00242F2F"/>
    <w:rsid w:val="0024385C"/>
    <w:rsid w:val="00296286"/>
    <w:rsid w:val="002A4A96"/>
    <w:rsid w:val="002C3CBA"/>
    <w:rsid w:val="002D4140"/>
    <w:rsid w:val="00313451"/>
    <w:rsid w:val="00323FE0"/>
    <w:rsid w:val="003250AD"/>
    <w:rsid w:val="00327BCC"/>
    <w:rsid w:val="003371EE"/>
    <w:rsid w:val="00344F71"/>
    <w:rsid w:val="0034641D"/>
    <w:rsid w:val="003564A1"/>
    <w:rsid w:val="00391DB6"/>
    <w:rsid w:val="0039256E"/>
    <w:rsid w:val="00394EE4"/>
    <w:rsid w:val="003A7E99"/>
    <w:rsid w:val="003D128A"/>
    <w:rsid w:val="003D1516"/>
    <w:rsid w:val="003E306C"/>
    <w:rsid w:val="003E34CD"/>
    <w:rsid w:val="003E4517"/>
    <w:rsid w:val="00411E95"/>
    <w:rsid w:val="004305B8"/>
    <w:rsid w:val="00440A78"/>
    <w:rsid w:val="00457CFB"/>
    <w:rsid w:val="004606F1"/>
    <w:rsid w:val="00460E7F"/>
    <w:rsid w:val="00474F59"/>
    <w:rsid w:val="0047659B"/>
    <w:rsid w:val="00482F8B"/>
    <w:rsid w:val="00490AB2"/>
    <w:rsid w:val="00490E30"/>
    <w:rsid w:val="004B0BF0"/>
    <w:rsid w:val="004C6C85"/>
    <w:rsid w:val="004F54F3"/>
    <w:rsid w:val="004F6F9B"/>
    <w:rsid w:val="0050649F"/>
    <w:rsid w:val="00561111"/>
    <w:rsid w:val="005B484F"/>
    <w:rsid w:val="005B4A54"/>
    <w:rsid w:val="005C2FD8"/>
    <w:rsid w:val="005C5AC0"/>
    <w:rsid w:val="005E658F"/>
    <w:rsid w:val="005E70AF"/>
    <w:rsid w:val="00604245"/>
    <w:rsid w:val="00655C38"/>
    <w:rsid w:val="006623D6"/>
    <w:rsid w:val="00663650"/>
    <w:rsid w:val="00683DA6"/>
    <w:rsid w:val="006951B2"/>
    <w:rsid w:val="006B3078"/>
    <w:rsid w:val="006B5713"/>
    <w:rsid w:val="006C52C3"/>
    <w:rsid w:val="006C6448"/>
    <w:rsid w:val="006D7128"/>
    <w:rsid w:val="006F0C05"/>
    <w:rsid w:val="00703840"/>
    <w:rsid w:val="00717829"/>
    <w:rsid w:val="00723196"/>
    <w:rsid w:val="007241EF"/>
    <w:rsid w:val="00731268"/>
    <w:rsid w:val="00734F83"/>
    <w:rsid w:val="00747985"/>
    <w:rsid w:val="0075128D"/>
    <w:rsid w:val="007551D4"/>
    <w:rsid w:val="00761766"/>
    <w:rsid w:val="007626FB"/>
    <w:rsid w:val="00763714"/>
    <w:rsid w:val="00767B85"/>
    <w:rsid w:val="00773124"/>
    <w:rsid w:val="00775F46"/>
    <w:rsid w:val="007766AA"/>
    <w:rsid w:val="007A5FEC"/>
    <w:rsid w:val="007B1749"/>
    <w:rsid w:val="007D5D9A"/>
    <w:rsid w:val="007E0B65"/>
    <w:rsid w:val="007E29CA"/>
    <w:rsid w:val="007E41B3"/>
    <w:rsid w:val="007F02B9"/>
    <w:rsid w:val="00800F6A"/>
    <w:rsid w:val="0080240F"/>
    <w:rsid w:val="00823DBE"/>
    <w:rsid w:val="008319F6"/>
    <w:rsid w:val="00832152"/>
    <w:rsid w:val="008354F4"/>
    <w:rsid w:val="008453A7"/>
    <w:rsid w:val="00846EB6"/>
    <w:rsid w:val="00857FF8"/>
    <w:rsid w:val="00885C38"/>
    <w:rsid w:val="008911B1"/>
    <w:rsid w:val="008A462E"/>
    <w:rsid w:val="00902957"/>
    <w:rsid w:val="00917CDF"/>
    <w:rsid w:val="009341FE"/>
    <w:rsid w:val="00952DE8"/>
    <w:rsid w:val="009803AE"/>
    <w:rsid w:val="00984563"/>
    <w:rsid w:val="0098584C"/>
    <w:rsid w:val="009A2786"/>
    <w:rsid w:val="009A7F0D"/>
    <w:rsid w:val="009B093E"/>
    <w:rsid w:val="009C6D03"/>
    <w:rsid w:val="009F540A"/>
    <w:rsid w:val="00A15D85"/>
    <w:rsid w:val="00A4390B"/>
    <w:rsid w:val="00A71DF3"/>
    <w:rsid w:val="00A737D7"/>
    <w:rsid w:val="00A94BA1"/>
    <w:rsid w:val="00AB4D4B"/>
    <w:rsid w:val="00AB6B29"/>
    <w:rsid w:val="00AD6BBA"/>
    <w:rsid w:val="00AE35F1"/>
    <w:rsid w:val="00AE455C"/>
    <w:rsid w:val="00AE7362"/>
    <w:rsid w:val="00B06BF3"/>
    <w:rsid w:val="00B23622"/>
    <w:rsid w:val="00B3661D"/>
    <w:rsid w:val="00B5333F"/>
    <w:rsid w:val="00B57B94"/>
    <w:rsid w:val="00B66D17"/>
    <w:rsid w:val="00B8236F"/>
    <w:rsid w:val="00B861D0"/>
    <w:rsid w:val="00B976F2"/>
    <w:rsid w:val="00BC559D"/>
    <w:rsid w:val="00BD2740"/>
    <w:rsid w:val="00BD2CB5"/>
    <w:rsid w:val="00BD4AE4"/>
    <w:rsid w:val="00BE7887"/>
    <w:rsid w:val="00C11A0F"/>
    <w:rsid w:val="00C22748"/>
    <w:rsid w:val="00C45889"/>
    <w:rsid w:val="00C671BA"/>
    <w:rsid w:val="00C86C3E"/>
    <w:rsid w:val="00C87C63"/>
    <w:rsid w:val="00C95195"/>
    <w:rsid w:val="00CA0C60"/>
    <w:rsid w:val="00CA4391"/>
    <w:rsid w:val="00CA4796"/>
    <w:rsid w:val="00CB14CC"/>
    <w:rsid w:val="00CB1E4C"/>
    <w:rsid w:val="00CB2DF3"/>
    <w:rsid w:val="00CB4CEC"/>
    <w:rsid w:val="00CC7223"/>
    <w:rsid w:val="00CD02C3"/>
    <w:rsid w:val="00CD29B1"/>
    <w:rsid w:val="00CE7658"/>
    <w:rsid w:val="00CF3278"/>
    <w:rsid w:val="00CF4010"/>
    <w:rsid w:val="00D24AB6"/>
    <w:rsid w:val="00D33A7D"/>
    <w:rsid w:val="00D35D19"/>
    <w:rsid w:val="00D51751"/>
    <w:rsid w:val="00D61245"/>
    <w:rsid w:val="00D674B1"/>
    <w:rsid w:val="00D76CEE"/>
    <w:rsid w:val="00D808FA"/>
    <w:rsid w:val="00D81FDA"/>
    <w:rsid w:val="00DA1F32"/>
    <w:rsid w:val="00DA34F7"/>
    <w:rsid w:val="00DB17F7"/>
    <w:rsid w:val="00DB5922"/>
    <w:rsid w:val="00DE3C68"/>
    <w:rsid w:val="00DF2B46"/>
    <w:rsid w:val="00DF36D1"/>
    <w:rsid w:val="00E02572"/>
    <w:rsid w:val="00E033F2"/>
    <w:rsid w:val="00E06A2F"/>
    <w:rsid w:val="00E32F3F"/>
    <w:rsid w:val="00E50C89"/>
    <w:rsid w:val="00E70387"/>
    <w:rsid w:val="00E71016"/>
    <w:rsid w:val="00E726D6"/>
    <w:rsid w:val="00E77669"/>
    <w:rsid w:val="00EA2C8F"/>
    <w:rsid w:val="00EA62DE"/>
    <w:rsid w:val="00EA696F"/>
    <w:rsid w:val="00EB2726"/>
    <w:rsid w:val="00ED28FE"/>
    <w:rsid w:val="00EE39DB"/>
    <w:rsid w:val="00F13905"/>
    <w:rsid w:val="00F50DC3"/>
    <w:rsid w:val="00F5234F"/>
    <w:rsid w:val="00F63F20"/>
    <w:rsid w:val="00F7289C"/>
    <w:rsid w:val="00F8551D"/>
    <w:rsid w:val="00FB5C56"/>
    <w:rsid w:val="00FC53AF"/>
    <w:rsid w:val="00FC544C"/>
    <w:rsid w:val="00FE1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3F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DF3"/>
    <w:pPr>
      <w:ind w:left="720"/>
      <w:contextualSpacing/>
    </w:pPr>
  </w:style>
  <w:style w:type="table" w:styleId="TableGrid">
    <w:name w:val="Table Grid"/>
    <w:basedOn w:val="TableNormal"/>
    <w:rsid w:val="00A71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0C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C60"/>
    <w:rPr>
      <w:rFonts w:ascii="Tahoma" w:eastAsia="Times New Roman" w:hAnsi="Tahoma" w:cs="Tahoma"/>
      <w:sz w:val="16"/>
      <w:szCs w:val="16"/>
      <w:lang w:val="en-US"/>
    </w:rPr>
  </w:style>
  <w:style w:type="table" w:customStyle="1" w:styleId="TableGrid1">
    <w:name w:val="Table Grid1"/>
    <w:basedOn w:val="TableNormal"/>
    <w:next w:val="TableGrid"/>
    <w:rsid w:val="00046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42F2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BD4AE4"/>
    <w:rPr>
      <w:i/>
      <w:iCs/>
    </w:rPr>
  </w:style>
  <w:style w:type="character" w:styleId="Strong">
    <w:name w:val="Strong"/>
    <w:basedOn w:val="DefaultParagraphFont"/>
    <w:uiPriority w:val="22"/>
    <w:qFormat/>
    <w:rsid w:val="00BD4A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DF3"/>
    <w:pPr>
      <w:ind w:left="720"/>
      <w:contextualSpacing/>
    </w:pPr>
  </w:style>
  <w:style w:type="table" w:styleId="TableGrid">
    <w:name w:val="Table Grid"/>
    <w:basedOn w:val="TableNormal"/>
    <w:rsid w:val="00A71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0C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C60"/>
    <w:rPr>
      <w:rFonts w:ascii="Tahoma" w:eastAsia="Times New Roman" w:hAnsi="Tahoma" w:cs="Tahoma"/>
      <w:sz w:val="16"/>
      <w:szCs w:val="16"/>
      <w:lang w:val="en-US"/>
    </w:rPr>
  </w:style>
  <w:style w:type="table" w:customStyle="1" w:styleId="TableGrid1">
    <w:name w:val="Table Grid1"/>
    <w:basedOn w:val="TableNormal"/>
    <w:next w:val="TableGrid"/>
    <w:rsid w:val="00046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42F2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BD4AE4"/>
    <w:rPr>
      <w:i/>
      <w:iCs/>
    </w:rPr>
  </w:style>
  <w:style w:type="character" w:styleId="Strong">
    <w:name w:val="Strong"/>
    <w:basedOn w:val="DefaultParagraphFont"/>
    <w:uiPriority w:val="22"/>
    <w:qFormat/>
    <w:rsid w:val="00BD4A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mkendir</dc:creator>
  <cp:lastModifiedBy>Alara Ataç</cp:lastModifiedBy>
  <cp:revision>2</cp:revision>
  <cp:lastPrinted>2024-03-22T12:26:00Z</cp:lastPrinted>
  <dcterms:created xsi:type="dcterms:W3CDTF">2024-04-01T07:14:00Z</dcterms:created>
  <dcterms:modified xsi:type="dcterms:W3CDTF">2024-04-01T07:14:00Z</dcterms:modified>
</cp:coreProperties>
</file>