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29" w:rsidRDefault="0063688F" w:rsidP="0063688F">
      <w:pPr>
        <w:spacing w:after="0" w:line="240" w:lineRule="auto"/>
        <w:jc w:val="both"/>
        <w:rPr>
          <w:rFonts w:ascii="Times New Roman" w:eastAsia="Calibri" w:hAnsi="Times New Roman" w:cs="Times New Roman"/>
          <w:sz w:val="24"/>
          <w:szCs w:val="24"/>
          <w:lang w:eastAsia="en-US"/>
        </w:rPr>
      </w:pPr>
      <w:r w:rsidRPr="0063688F">
        <w:rPr>
          <w:rFonts w:ascii="Times New Roman" w:eastAsia="Calibri" w:hAnsi="Times New Roman" w:cs="Times New Roman"/>
          <w:sz w:val="24"/>
          <w:szCs w:val="24"/>
          <w:lang w:eastAsia="en-US"/>
        </w:rPr>
        <w:t>Kuzey Kıbrıs Türk Cumhuriyeti Cumhuriyet Meclisi'nin 29 Nisan 2024 tarihli Elli</w:t>
      </w:r>
      <w:r>
        <w:rPr>
          <w:rFonts w:ascii="Times New Roman" w:eastAsia="Calibri" w:hAnsi="Times New Roman" w:cs="Times New Roman"/>
          <w:sz w:val="24"/>
          <w:szCs w:val="24"/>
          <w:lang w:eastAsia="en-US"/>
        </w:rPr>
        <w:t xml:space="preserve"> İ</w:t>
      </w:r>
      <w:r w:rsidRPr="0063688F">
        <w:rPr>
          <w:rFonts w:ascii="Times New Roman" w:eastAsia="Calibri" w:hAnsi="Times New Roman" w:cs="Times New Roman"/>
          <w:sz w:val="24"/>
          <w:szCs w:val="24"/>
          <w:lang w:eastAsia="en-US"/>
        </w:rPr>
        <w:t>kinci Birleşiminde Oybirliğiyle kabul olunan "Poliçeler (Değişiklik) Yasası" Anayasanın 94'ünc</w:t>
      </w:r>
      <w:r w:rsidR="00ED4349">
        <w:rPr>
          <w:rFonts w:ascii="Times New Roman" w:eastAsia="Calibri" w:hAnsi="Times New Roman" w:cs="Times New Roman"/>
          <w:sz w:val="24"/>
          <w:szCs w:val="24"/>
          <w:lang w:eastAsia="en-US"/>
        </w:rPr>
        <w:t>ü maddesinin (l)</w:t>
      </w:r>
      <w:r w:rsidRPr="0063688F">
        <w:rPr>
          <w:rFonts w:ascii="Times New Roman" w:eastAsia="Calibri" w:hAnsi="Times New Roman" w:cs="Times New Roman"/>
          <w:sz w:val="24"/>
          <w:szCs w:val="24"/>
          <w:lang w:eastAsia="en-US"/>
        </w:rPr>
        <w:t>'inci fıkrası gereğince Kuzey Kıbrıs Türk Cumhuriyeti Cumhurbaşkanı tarafından Resmi Gazete'de</w:t>
      </w:r>
      <w:bookmarkStart w:id="0" w:name="_GoBack"/>
      <w:bookmarkEnd w:id="0"/>
      <w:r w:rsidRPr="0063688F">
        <w:rPr>
          <w:rFonts w:ascii="Times New Roman" w:eastAsia="Calibri" w:hAnsi="Times New Roman" w:cs="Times New Roman"/>
          <w:sz w:val="24"/>
          <w:szCs w:val="24"/>
          <w:lang w:eastAsia="en-US"/>
        </w:rPr>
        <w:t xml:space="preserve"> yayımlanmak suretiyle ilan olunur.</w:t>
      </w:r>
    </w:p>
    <w:p w:rsidR="0063688F" w:rsidRDefault="0063688F" w:rsidP="00502F35">
      <w:pPr>
        <w:spacing w:after="0" w:line="240" w:lineRule="auto"/>
        <w:jc w:val="center"/>
        <w:rPr>
          <w:rFonts w:ascii="Times New Roman" w:eastAsia="Calibri" w:hAnsi="Times New Roman" w:cs="Times New Roman"/>
          <w:sz w:val="24"/>
          <w:szCs w:val="24"/>
          <w:lang w:eastAsia="en-US"/>
        </w:rPr>
      </w:pPr>
    </w:p>
    <w:p w:rsidR="00AA5C29" w:rsidRDefault="00AA5C29" w:rsidP="00502F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Sayı:</w:t>
      </w:r>
      <w:r w:rsidR="0063688F">
        <w:rPr>
          <w:rFonts w:ascii="Times New Roman" w:eastAsia="Calibri" w:hAnsi="Times New Roman" w:cs="Times New Roman"/>
          <w:sz w:val="24"/>
          <w:szCs w:val="24"/>
          <w:lang w:eastAsia="en-US"/>
        </w:rPr>
        <w:t xml:space="preserve"> 32/2024</w:t>
      </w:r>
    </w:p>
    <w:p w:rsidR="00AA5C29" w:rsidRDefault="00AA5C29" w:rsidP="00502F35">
      <w:pPr>
        <w:spacing w:after="0" w:line="240" w:lineRule="auto"/>
        <w:jc w:val="center"/>
        <w:rPr>
          <w:rFonts w:ascii="Times New Roman" w:eastAsia="Calibri" w:hAnsi="Times New Roman" w:cs="Times New Roman"/>
          <w:sz w:val="24"/>
          <w:szCs w:val="24"/>
          <w:lang w:eastAsia="en-US"/>
        </w:rPr>
      </w:pPr>
    </w:p>
    <w:p w:rsidR="003A79DC" w:rsidRPr="0057682D" w:rsidRDefault="00DF7431" w:rsidP="00502F35">
      <w:pPr>
        <w:spacing w:after="0" w:line="240" w:lineRule="auto"/>
        <w:jc w:val="center"/>
        <w:rPr>
          <w:rFonts w:ascii="Times New Roman" w:eastAsia="Calibri" w:hAnsi="Times New Roman" w:cs="Times New Roman"/>
          <w:sz w:val="24"/>
          <w:szCs w:val="24"/>
          <w:lang w:eastAsia="en-US"/>
        </w:rPr>
      </w:pPr>
      <w:r w:rsidRPr="0057682D">
        <w:rPr>
          <w:rFonts w:ascii="Times New Roman" w:eastAsia="Calibri" w:hAnsi="Times New Roman" w:cs="Times New Roman"/>
          <w:sz w:val="24"/>
          <w:szCs w:val="24"/>
          <w:lang w:eastAsia="en-US"/>
        </w:rPr>
        <w:t>POLİÇELER</w:t>
      </w:r>
      <w:r w:rsidR="00AB3E74">
        <w:rPr>
          <w:rFonts w:ascii="Times New Roman" w:eastAsia="Calibri" w:hAnsi="Times New Roman" w:cs="Times New Roman"/>
          <w:sz w:val="24"/>
          <w:szCs w:val="24"/>
          <w:lang w:eastAsia="en-US"/>
        </w:rPr>
        <w:t xml:space="preserve"> (DEĞİŞİKLİK) YASA</w:t>
      </w:r>
      <w:r w:rsidR="00EB0ABC" w:rsidRPr="0057682D">
        <w:rPr>
          <w:rFonts w:ascii="Times New Roman" w:eastAsia="Calibri" w:hAnsi="Times New Roman" w:cs="Times New Roman"/>
          <w:sz w:val="24"/>
          <w:szCs w:val="24"/>
          <w:lang w:eastAsia="en-US"/>
        </w:rPr>
        <w:t>SI</w:t>
      </w:r>
    </w:p>
    <w:p w:rsidR="00EB0ABC" w:rsidRPr="0057682D" w:rsidRDefault="00EB0ABC" w:rsidP="00502F35">
      <w:pPr>
        <w:spacing w:after="0" w:line="240" w:lineRule="auto"/>
        <w:jc w:val="center"/>
        <w:rPr>
          <w:rFonts w:ascii="Times New Roman" w:hAnsi="Times New Roman" w:cs="Times New Roman"/>
          <w:b/>
          <w:sz w:val="24"/>
          <w:szCs w:val="24"/>
        </w:rPr>
      </w:pPr>
    </w:p>
    <w:tbl>
      <w:tblPr>
        <w:tblW w:w="9464" w:type="dxa"/>
        <w:tblLayout w:type="fixed"/>
        <w:tblLook w:val="01E0" w:firstRow="1" w:lastRow="1" w:firstColumn="1" w:lastColumn="1" w:noHBand="0" w:noVBand="0"/>
      </w:tblPr>
      <w:tblGrid>
        <w:gridCol w:w="1668"/>
        <w:gridCol w:w="425"/>
        <w:gridCol w:w="425"/>
        <w:gridCol w:w="709"/>
        <w:gridCol w:w="142"/>
        <w:gridCol w:w="567"/>
        <w:gridCol w:w="5528"/>
      </w:tblGrid>
      <w:tr w:rsidR="001E5449" w:rsidRPr="0057682D" w:rsidTr="00685BE3">
        <w:trPr>
          <w:trHeight w:val="428"/>
        </w:trPr>
        <w:tc>
          <w:tcPr>
            <w:tcW w:w="1668" w:type="dxa"/>
          </w:tcPr>
          <w:p w:rsidR="001E5449" w:rsidRPr="0057682D" w:rsidRDefault="001E5449" w:rsidP="00502F35">
            <w:pPr>
              <w:spacing w:after="0" w:line="240" w:lineRule="auto"/>
              <w:rPr>
                <w:rFonts w:ascii="Times New Roman" w:hAnsi="Times New Roman" w:cs="Times New Roman"/>
                <w:sz w:val="24"/>
                <w:szCs w:val="24"/>
              </w:rPr>
            </w:pPr>
          </w:p>
        </w:tc>
        <w:tc>
          <w:tcPr>
            <w:tcW w:w="7796" w:type="dxa"/>
            <w:gridSpan w:val="6"/>
          </w:tcPr>
          <w:p w:rsidR="001E5449" w:rsidRDefault="001E5449" w:rsidP="00502F35">
            <w:pPr>
              <w:pStyle w:val="GvdeMetni2"/>
              <w:spacing w:after="0" w:line="240" w:lineRule="auto"/>
              <w:jc w:val="both"/>
            </w:pPr>
            <w:r w:rsidRPr="0057682D">
              <w:t xml:space="preserve">         Kuzey Kıbrıs Türk Cumhuriyeti Cumhuriyet Meclisi aşağıdaki Yasayı yapar:</w:t>
            </w:r>
          </w:p>
          <w:p w:rsidR="00882729" w:rsidRPr="0057682D" w:rsidRDefault="00882729" w:rsidP="00502F35">
            <w:pPr>
              <w:pStyle w:val="GvdeMetni2"/>
              <w:spacing w:after="0" w:line="240" w:lineRule="auto"/>
              <w:jc w:val="both"/>
            </w:pPr>
          </w:p>
        </w:tc>
      </w:tr>
      <w:tr w:rsidR="001E5449" w:rsidRPr="0057682D" w:rsidTr="00685BE3">
        <w:trPr>
          <w:trHeight w:val="1926"/>
        </w:trPr>
        <w:tc>
          <w:tcPr>
            <w:tcW w:w="1668" w:type="dxa"/>
          </w:tcPr>
          <w:p w:rsidR="001E5449" w:rsidRPr="0057682D" w:rsidRDefault="001E5449" w:rsidP="00502F35">
            <w:pPr>
              <w:spacing w:after="0" w:line="240" w:lineRule="auto"/>
              <w:rPr>
                <w:rFonts w:ascii="Times New Roman" w:hAnsi="Times New Roman" w:cs="Times New Roman"/>
                <w:sz w:val="24"/>
                <w:szCs w:val="24"/>
              </w:rPr>
            </w:pPr>
            <w:r w:rsidRPr="0057682D">
              <w:rPr>
                <w:rFonts w:ascii="Times New Roman" w:hAnsi="Times New Roman" w:cs="Times New Roman"/>
                <w:sz w:val="24"/>
                <w:szCs w:val="24"/>
              </w:rPr>
              <w:t>Kısa İsim</w:t>
            </w:r>
          </w:p>
          <w:p w:rsidR="001E5449" w:rsidRPr="0057682D" w:rsidRDefault="00502F35" w:rsidP="00502F35">
            <w:pPr>
              <w:spacing w:after="0" w:line="240" w:lineRule="auto"/>
              <w:rPr>
                <w:rFonts w:ascii="Times New Roman" w:hAnsi="Times New Roman" w:cs="Times New Roman"/>
                <w:sz w:val="24"/>
                <w:szCs w:val="24"/>
              </w:rPr>
            </w:pPr>
            <w:r w:rsidRPr="0057682D">
              <w:rPr>
                <w:rFonts w:ascii="Times New Roman" w:hAnsi="Times New Roman" w:cs="Times New Roman"/>
                <w:sz w:val="24"/>
                <w:szCs w:val="24"/>
              </w:rPr>
              <w:t>Fasıl 262</w:t>
            </w:r>
          </w:p>
          <w:p w:rsidR="001E5449" w:rsidRPr="0057682D" w:rsidRDefault="00502F35" w:rsidP="00502F35">
            <w:pPr>
              <w:spacing w:after="0" w:line="240" w:lineRule="auto"/>
              <w:rPr>
                <w:rFonts w:ascii="Times New Roman" w:hAnsi="Times New Roman" w:cs="Times New Roman"/>
                <w:sz w:val="24"/>
                <w:szCs w:val="24"/>
              </w:rPr>
            </w:pPr>
            <w:r w:rsidRPr="0057682D">
              <w:rPr>
                <w:rFonts w:ascii="Times New Roman" w:hAnsi="Times New Roman" w:cs="Times New Roman"/>
                <w:sz w:val="24"/>
                <w:szCs w:val="24"/>
              </w:rPr>
              <w:t xml:space="preserve">    </w:t>
            </w:r>
            <w:r w:rsidR="007B5306">
              <w:rPr>
                <w:rFonts w:ascii="Times New Roman" w:hAnsi="Times New Roman" w:cs="Times New Roman"/>
                <w:sz w:val="24"/>
                <w:szCs w:val="24"/>
              </w:rPr>
              <w:t xml:space="preserve"> </w:t>
            </w:r>
            <w:r w:rsidR="001E5449" w:rsidRPr="0057682D">
              <w:rPr>
                <w:rFonts w:ascii="Times New Roman" w:hAnsi="Times New Roman" w:cs="Times New Roman"/>
                <w:sz w:val="24"/>
                <w:szCs w:val="24"/>
              </w:rPr>
              <w:t>29/1989</w:t>
            </w:r>
          </w:p>
          <w:p w:rsidR="001E5449" w:rsidRPr="0057682D" w:rsidRDefault="001E5449" w:rsidP="00502F35">
            <w:pPr>
              <w:spacing w:after="0" w:line="240" w:lineRule="auto"/>
              <w:rPr>
                <w:rFonts w:ascii="Times New Roman" w:hAnsi="Times New Roman" w:cs="Times New Roman"/>
                <w:sz w:val="24"/>
                <w:szCs w:val="24"/>
              </w:rPr>
            </w:pPr>
            <w:r w:rsidRPr="0057682D">
              <w:rPr>
                <w:rFonts w:ascii="Times New Roman" w:hAnsi="Times New Roman" w:cs="Times New Roman"/>
                <w:sz w:val="24"/>
                <w:szCs w:val="24"/>
              </w:rPr>
              <w:t xml:space="preserve"> </w:t>
            </w:r>
            <w:r w:rsidR="00502F35" w:rsidRPr="0057682D">
              <w:rPr>
                <w:rFonts w:ascii="Times New Roman" w:hAnsi="Times New Roman" w:cs="Times New Roman"/>
                <w:sz w:val="24"/>
                <w:szCs w:val="24"/>
              </w:rPr>
              <w:t xml:space="preserve">   </w:t>
            </w:r>
            <w:r w:rsidR="007B5306">
              <w:rPr>
                <w:rFonts w:ascii="Times New Roman" w:hAnsi="Times New Roman" w:cs="Times New Roman"/>
                <w:sz w:val="24"/>
                <w:szCs w:val="24"/>
              </w:rPr>
              <w:t xml:space="preserve"> </w:t>
            </w:r>
            <w:r w:rsidRPr="0057682D">
              <w:rPr>
                <w:rFonts w:ascii="Times New Roman" w:hAnsi="Times New Roman" w:cs="Times New Roman"/>
                <w:sz w:val="24"/>
                <w:szCs w:val="24"/>
              </w:rPr>
              <w:t>34/2006</w:t>
            </w:r>
          </w:p>
          <w:p w:rsidR="001E5449" w:rsidRPr="0057682D" w:rsidRDefault="001E5449" w:rsidP="00502F35">
            <w:pPr>
              <w:spacing w:after="0" w:line="240" w:lineRule="auto"/>
              <w:rPr>
                <w:rFonts w:ascii="Times New Roman" w:hAnsi="Times New Roman" w:cs="Times New Roman"/>
                <w:sz w:val="24"/>
                <w:szCs w:val="24"/>
              </w:rPr>
            </w:pPr>
            <w:r w:rsidRPr="0057682D">
              <w:rPr>
                <w:rFonts w:ascii="Times New Roman" w:hAnsi="Times New Roman" w:cs="Times New Roman"/>
                <w:sz w:val="24"/>
                <w:szCs w:val="24"/>
              </w:rPr>
              <w:t xml:space="preserve">  </w:t>
            </w:r>
            <w:r w:rsidR="00502F35" w:rsidRPr="0057682D">
              <w:rPr>
                <w:rFonts w:ascii="Times New Roman" w:hAnsi="Times New Roman" w:cs="Times New Roman"/>
                <w:sz w:val="24"/>
                <w:szCs w:val="24"/>
              </w:rPr>
              <w:t xml:space="preserve">  </w:t>
            </w:r>
            <w:r w:rsidR="007B5306">
              <w:rPr>
                <w:rFonts w:ascii="Times New Roman" w:hAnsi="Times New Roman" w:cs="Times New Roman"/>
                <w:sz w:val="24"/>
                <w:szCs w:val="24"/>
              </w:rPr>
              <w:t xml:space="preserve"> </w:t>
            </w:r>
            <w:r w:rsidRPr="0057682D">
              <w:rPr>
                <w:rFonts w:ascii="Times New Roman" w:hAnsi="Times New Roman" w:cs="Times New Roman"/>
                <w:sz w:val="24"/>
                <w:szCs w:val="24"/>
              </w:rPr>
              <w:t>20/2010</w:t>
            </w:r>
          </w:p>
          <w:p w:rsidR="001E5449" w:rsidRPr="0057682D" w:rsidRDefault="001E5449" w:rsidP="00502F35">
            <w:pPr>
              <w:spacing w:after="0" w:line="240" w:lineRule="auto"/>
              <w:rPr>
                <w:rFonts w:ascii="Times New Roman" w:hAnsi="Times New Roman" w:cs="Times New Roman"/>
                <w:sz w:val="24"/>
                <w:szCs w:val="24"/>
              </w:rPr>
            </w:pPr>
            <w:r w:rsidRPr="0057682D">
              <w:rPr>
                <w:rFonts w:ascii="Times New Roman" w:hAnsi="Times New Roman" w:cs="Times New Roman"/>
                <w:sz w:val="24"/>
                <w:szCs w:val="24"/>
              </w:rPr>
              <w:t xml:space="preserve">   </w:t>
            </w:r>
            <w:r w:rsidR="007B5306">
              <w:rPr>
                <w:rFonts w:ascii="Times New Roman" w:hAnsi="Times New Roman" w:cs="Times New Roman"/>
                <w:sz w:val="24"/>
                <w:szCs w:val="24"/>
              </w:rPr>
              <w:t xml:space="preserve"> </w:t>
            </w:r>
            <w:r w:rsidR="00502F35" w:rsidRPr="0057682D">
              <w:rPr>
                <w:rFonts w:ascii="Times New Roman" w:hAnsi="Times New Roman" w:cs="Times New Roman"/>
                <w:sz w:val="24"/>
                <w:szCs w:val="24"/>
              </w:rPr>
              <w:t xml:space="preserve"> </w:t>
            </w:r>
            <w:r w:rsidRPr="0057682D">
              <w:rPr>
                <w:rFonts w:ascii="Times New Roman" w:hAnsi="Times New Roman" w:cs="Times New Roman"/>
                <w:sz w:val="24"/>
                <w:szCs w:val="24"/>
              </w:rPr>
              <w:t>46/2011</w:t>
            </w:r>
          </w:p>
          <w:p w:rsidR="001E5449" w:rsidRPr="0057682D" w:rsidRDefault="001E5449" w:rsidP="00502F35">
            <w:pPr>
              <w:spacing w:after="0" w:line="240" w:lineRule="auto"/>
              <w:rPr>
                <w:rFonts w:ascii="Times New Roman" w:hAnsi="Times New Roman" w:cs="Times New Roman"/>
                <w:sz w:val="24"/>
                <w:szCs w:val="24"/>
              </w:rPr>
            </w:pPr>
            <w:r w:rsidRPr="0057682D">
              <w:rPr>
                <w:rFonts w:ascii="Times New Roman" w:hAnsi="Times New Roman" w:cs="Times New Roman"/>
                <w:sz w:val="24"/>
                <w:szCs w:val="24"/>
              </w:rPr>
              <w:t xml:space="preserve">    </w:t>
            </w:r>
            <w:r w:rsidR="007B5306">
              <w:rPr>
                <w:rFonts w:ascii="Times New Roman" w:hAnsi="Times New Roman" w:cs="Times New Roman"/>
                <w:sz w:val="24"/>
                <w:szCs w:val="24"/>
              </w:rPr>
              <w:t xml:space="preserve"> </w:t>
            </w:r>
            <w:r w:rsidRPr="0057682D">
              <w:rPr>
                <w:rFonts w:ascii="Times New Roman" w:hAnsi="Times New Roman" w:cs="Times New Roman"/>
                <w:sz w:val="24"/>
                <w:szCs w:val="24"/>
              </w:rPr>
              <w:t>21/2013</w:t>
            </w:r>
          </w:p>
        </w:tc>
        <w:tc>
          <w:tcPr>
            <w:tcW w:w="7796" w:type="dxa"/>
            <w:gridSpan w:val="6"/>
          </w:tcPr>
          <w:p w:rsidR="001E5449" w:rsidRPr="0057682D" w:rsidRDefault="001E5449" w:rsidP="00502F35">
            <w:pPr>
              <w:spacing w:after="0" w:line="240" w:lineRule="auto"/>
              <w:jc w:val="both"/>
              <w:rPr>
                <w:rFonts w:ascii="Times New Roman" w:hAnsi="Times New Roman" w:cs="Times New Roman"/>
                <w:sz w:val="24"/>
                <w:szCs w:val="24"/>
              </w:rPr>
            </w:pPr>
            <w:r w:rsidRPr="0057682D">
              <w:rPr>
                <w:rFonts w:ascii="Times New Roman" w:hAnsi="Times New Roman" w:cs="Times New Roman"/>
                <w:sz w:val="24"/>
                <w:szCs w:val="24"/>
              </w:rPr>
              <w:t>1. Bu Yasa, Poliçeler (Değişiklik) Yasası olarak isimlendirilir ve aşağıda “Esas Yasa” olarak anılan Poliçeler Yasası ile birlikte okunur.</w:t>
            </w:r>
          </w:p>
          <w:p w:rsidR="001E5449" w:rsidRPr="0057682D" w:rsidRDefault="001E5449" w:rsidP="00502F35">
            <w:pPr>
              <w:pStyle w:val="GvdeMetni2"/>
              <w:spacing w:after="0" w:line="240" w:lineRule="auto"/>
              <w:jc w:val="both"/>
            </w:pPr>
          </w:p>
        </w:tc>
      </w:tr>
      <w:tr w:rsidR="00502F35" w:rsidRPr="0057682D" w:rsidTr="00685BE3">
        <w:trPr>
          <w:trHeight w:val="240"/>
        </w:trPr>
        <w:tc>
          <w:tcPr>
            <w:tcW w:w="1668" w:type="dxa"/>
          </w:tcPr>
          <w:p w:rsidR="00502F35" w:rsidRPr="0057682D" w:rsidRDefault="00502F35" w:rsidP="00502F35">
            <w:pPr>
              <w:spacing w:after="0" w:line="240" w:lineRule="auto"/>
              <w:rPr>
                <w:rFonts w:ascii="Times New Roman" w:hAnsi="Times New Roman" w:cs="Times New Roman"/>
                <w:sz w:val="24"/>
                <w:szCs w:val="24"/>
              </w:rPr>
            </w:pPr>
          </w:p>
        </w:tc>
        <w:tc>
          <w:tcPr>
            <w:tcW w:w="7796" w:type="dxa"/>
            <w:gridSpan w:val="6"/>
          </w:tcPr>
          <w:p w:rsidR="00502F35" w:rsidRPr="0057682D" w:rsidRDefault="00502F35" w:rsidP="00502F35">
            <w:pPr>
              <w:spacing w:after="0" w:line="240" w:lineRule="auto"/>
              <w:jc w:val="both"/>
              <w:rPr>
                <w:rFonts w:ascii="Times New Roman" w:hAnsi="Times New Roman" w:cs="Times New Roman"/>
                <w:sz w:val="24"/>
                <w:szCs w:val="24"/>
              </w:rPr>
            </w:pPr>
          </w:p>
        </w:tc>
      </w:tr>
      <w:tr w:rsidR="00502F35" w:rsidRPr="0057682D" w:rsidTr="00685BE3">
        <w:tc>
          <w:tcPr>
            <w:tcW w:w="1668" w:type="dxa"/>
          </w:tcPr>
          <w:p w:rsidR="00502F35" w:rsidRPr="0057682D" w:rsidRDefault="00502F35" w:rsidP="000871F4">
            <w:pPr>
              <w:pStyle w:val="GvdeMetni2"/>
              <w:spacing w:after="0" w:line="240" w:lineRule="auto"/>
            </w:pPr>
            <w:r w:rsidRPr="0057682D">
              <w:t xml:space="preserve">Esas Yasanın 73A </w:t>
            </w:r>
          </w:p>
        </w:tc>
        <w:tc>
          <w:tcPr>
            <w:tcW w:w="7796" w:type="dxa"/>
            <w:gridSpan w:val="6"/>
          </w:tcPr>
          <w:p w:rsidR="00502F35" w:rsidRPr="0057682D" w:rsidRDefault="00502F35" w:rsidP="00502F35">
            <w:pPr>
              <w:pStyle w:val="GvdeMetni2"/>
              <w:spacing w:after="0" w:line="240" w:lineRule="auto"/>
              <w:jc w:val="both"/>
            </w:pPr>
            <w:r w:rsidRPr="0057682D">
              <w:t xml:space="preserve">2. Esas Yasa, </w:t>
            </w:r>
            <w:r w:rsidR="00D00C07">
              <w:t>73A maddesinin (2)’nci fıkrasının</w:t>
            </w:r>
            <w:r w:rsidRPr="0057682D">
              <w:t xml:space="preserve"> (Ç) bendinden hemen sonra aşağıdaki </w:t>
            </w:r>
            <w:r w:rsidR="00A04A9C">
              <w:t xml:space="preserve">yeni </w:t>
            </w:r>
            <w:r w:rsidRPr="0057682D">
              <w:t>koşul bendi eklenmek suretiyle değiştirilir:</w:t>
            </w:r>
          </w:p>
        </w:tc>
      </w:tr>
      <w:tr w:rsidR="00502F35" w:rsidRPr="0057682D" w:rsidTr="00685BE3">
        <w:tc>
          <w:tcPr>
            <w:tcW w:w="1668" w:type="dxa"/>
          </w:tcPr>
          <w:p w:rsidR="00502F35" w:rsidRPr="0057682D" w:rsidRDefault="00502F35" w:rsidP="000871F4">
            <w:pPr>
              <w:pStyle w:val="GvdeMetni2"/>
              <w:spacing w:after="0" w:line="240" w:lineRule="auto"/>
            </w:pPr>
            <w:r w:rsidRPr="0057682D">
              <w:t xml:space="preserve">Maddesinin </w:t>
            </w:r>
          </w:p>
        </w:tc>
        <w:tc>
          <w:tcPr>
            <w:tcW w:w="7796" w:type="dxa"/>
            <w:gridSpan w:val="6"/>
          </w:tcPr>
          <w:p w:rsidR="00502F35" w:rsidRPr="0057682D" w:rsidRDefault="00502F35" w:rsidP="00502F35">
            <w:pPr>
              <w:pStyle w:val="GvdeMetni2"/>
              <w:spacing w:after="0" w:line="240" w:lineRule="auto"/>
              <w:jc w:val="both"/>
            </w:pPr>
          </w:p>
        </w:tc>
      </w:tr>
      <w:tr w:rsidR="004C172F" w:rsidRPr="0057682D" w:rsidTr="00685BE3">
        <w:tc>
          <w:tcPr>
            <w:tcW w:w="1668" w:type="dxa"/>
          </w:tcPr>
          <w:p w:rsidR="004C172F" w:rsidRPr="0057682D" w:rsidRDefault="00502F35" w:rsidP="000871F4">
            <w:pPr>
              <w:pStyle w:val="AralkYok"/>
              <w:rPr>
                <w:rFonts w:ascii="Times New Roman" w:hAnsi="Times New Roman" w:cs="Times New Roman"/>
                <w:sz w:val="24"/>
                <w:szCs w:val="24"/>
              </w:rPr>
            </w:pPr>
            <w:r w:rsidRPr="0057682D">
              <w:rPr>
                <w:rFonts w:ascii="Times New Roman" w:hAnsi="Times New Roman" w:cs="Times New Roman"/>
                <w:sz w:val="24"/>
                <w:szCs w:val="24"/>
              </w:rPr>
              <w:t>Değiştirilmesi</w:t>
            </w:r>
          </w:p>
        </w:tc>
        <w:tc>
          <w:tcPr>
            <w:tcW w:w="425" w:type="dxa"/>
          </w:tcPr>
          <w:p w:rsidR="004C172F" w:rsidRPr="0057682D" w:rsidRDefault="004C172F" w:rsidP="00502F35">
            <w:pPr>
              <w:pStyle w:val="AralkYok"/>
              <w:rPr>
                <w:rFonts w:ascii="Times New Roman" w:hAnsi="Times New Roman" w:cs="Times New Roman"/>
                <w:sz w:val="24"/>
                <w:szCs w:val="24"/>
              </w:rPr>
            </w:pPr>
          </w:p>
        </w:tc>
        <w:tc>
          <w:tcPr>
            <w:tcW w:w="7371" w:type="dxa"/>
            <w:gridSpan w:val="5"/>
          </w:tcPr>
          <w:p w:rsidR="004C172F" w:rsidRPr="0057682D" w:rsidRDefault="00502F35" w:rsidP="00502F35">
            <w:pPr>
              <w:pStyle w:val="AralkYok"/>
              <w:jc w:val="both"/>
              <w:rPr>
                <w:rFonts w:ascii="Times New Roman" w:hAnsi="Times New Roman" w:cs="Times New Roman"/>
                <w:sz w:val="24"/>
                <w:szCs w:val="24"/>
              </w:rPr>
            </w:pPr>
            <w:r w:rsidRPr="0057682D">
              <w:rPr>
                <w:rFonts w:ascii="Times New Roman" w:hAnsi="Times New Roman" w:cs="Times New Roman"/>
                <w:sz w:val="24"/>
                <w:szCs w:val="24"/>
              </w:rPr>
              <w:tab/>
            </w:r>
            <w:r w:rsidR="00B11FE9">
              <w:rPr>
                <w:rFonts w:ascii="Times New Roman" w:hAnsi="Times New Roman" w:cs="Times New Roman"/>
                <w:sz w:val="24"/>
                <w:szCs w:val="24"/>
              </w:rPr>
              <w:t>“</w:t>
            </w:r>
            <w:r w:rsidRPr="0057682D">
              <w:rPr>
                <w:rFonts w:ascii="Times New Roman" w:hAnsi="Times New Roman" w:cs="Times New Roman"/>
                <w:sz w:val="24"/>
                <w:szCs w:val="24"/>
              </w:rPr>
              <w:t xml:space="preserve">Ancak </w:t>
            </w:r>
            <w:r w:rsidR="004C172F" w:rsidRPr="0057682D">
              <w:rPr>
                <w:rFonts w:ascii="Times New Roman" w:hAnsi="Times New Roman" w:cs="Times New Roman"/>
                <w:sz w:val="24"/>
                <w:szCs w:val="24"/>
              </w:rPr>
              <w:t>tüzel kişi yetkililerinde değişiklik olması halinde değişiklikten önceki yetkililerin keşide ettiği çeklerde ödem</w:t>
            </w:r>
            <w:r w:rsidR="00882729">
              <w:rPr>
                <w:rFonts w:ascii="Times New Roman" w:hAnsi="Times New Roman" w:cs="Times New Roman"/>
                <w:sz w:val="24"/>
                <w:szCs w:val="24"/>
              </w:rPr>
              <w:t>e sorumluluğu ortadan kalkmaz.</w:t>
            </w:r>
            <w:r w:rsidR="00B11FE9">
              <w:rPr>
                <w:rFonts w:ascii="Times New Roman" w:hAnsi="Times New Roman" w:cs="Times New Roman"/>
                <w:sz w:val="24"/>
                <w:szCs w:val="24"/>
              </w:rPr>
              <w:t>”</w:t>
            </w:r>
          </w:p>
        </w:tc>
      </w:tr>
      <w:tr w:rsidR="004C172F" w:rsidRPr="0057682D" w:rsidTr="00685BE3">
        <w:tc>
          <w:tcPr>
            <w:tcW w:w="1668" w:type="dxa"/>
          </w:tcPr>
          <w:p w:rsidR="004C172F" w:rsidRPr="0057682D" w:rsidRDefault="004C172F" w:rsidP="00502F35">
            <w:pPr>
              <w:pStyle w:val="AralkYok"/>
              <w:rPr>
                <w:rFonts w:ascii="Times New Roman" w:hAnsi="Times New Roman" w:cs="Times New Roman"/>
                <w:sz w:val="24"/>
                <w:szCs w:val="24"/>
              </w:rPr>
            </w:pPr>
          </w:p>
        </w:tc>
        <w:tc>
          <w:tcPr>
            <w:tcW w:w="425" w:type="dxa"/>
          </w:tcPr>
          <w:p w:rsidR="004C172F" w:rsidRPr="0057682D" w:rsidRDefault="004C172F" w:rsidP="00502F35">
            <w:pPr>
              <w:pStyle w:val="AralkYok"/>
              <w:rPr>
                <w:rFonts w:ascii="Times New Roman" w:hAnsi="Times New Roman" w:cs="Times New Roman"/>
                <w:sz w:val="24"/>
                <w:szCs w:val="24"/>
              </w:rPr>
            </w:pPr>
          </w:p>
        </w:tc>
        <w:tc>
          <w:tcPr>
            <w:tcW w:w="7371" w:type="dxa"/>
            <w:gridSpan w:val="5"/>
          </w:tcPr>
          <w:p w:rsidR="004C172F" w:rsidRPr="0057682D" w:rsidRDefault="004C172F" w:rsidP="00502F35">
            <w:pPr>
              <w:pStyle w:val="AralkYok"/>
              <w:rPr>
                <w:rFonts w:ascii="Times New Roman" w:hAnsi="Times New Roman" w:cs="Times New Roman"/>
                <w:sz w:val="24"/>
                <w:szCs w:val="24"/>
              </w:rPr>
            </w:pPr>
          </w:p>
        </w:tc>
      </w:tr>
      <w:tr w:rsidR="004839B5" w:rsidRPr="0057682D" w:rsidTr="00685BE3">
        <w:trPr>
          <w:trHeight w:val="828"/>
        </w:trPr>
        <w:tc>
          <w:tcPr>
            <w:tcW w:w="1668" w:type="dxa"/>
            <w:vMerge w:val="restart"/>
          </w:tcPr>
          <w:p w:rsidR="004839B5" w:rsidRPr="0057682D" w:rsidRDefault="004839B5" w:rsidP="00A04A9C">
            <w:pPr>
              <w:pStyle w:val="GvdeMetni2"/>
              <w:spacing w:after="0" w:line="240" w:lineRule="auto"/>
            </w:pPr>
            <w:r w:rsidRPr="0057682D">
              <w:t>Esas Yasanın 74’üncü Maddesinin Değiştirilmesi</w:t>
            </w:r>
          </w:p>
        </w:tc>
        <w:tc>
          <w:tcPr>
            <w:tcW w:w="425" w:type="dxa"/>
            <w:vMerge w:val="restart"/>
          </w:tcPr>
          <w:p w:rsidR="004839B5" w:rsidRPr="0057682D" w:rsidRDefault="004839B5" w:rsidP="00502F35">
            <w:pPr>
              <w:pStyle w:val="GvdeMetni2"/>
              <w:spacing w:after="0" w:line="240" w:lineRule="auto"/>
              <w:jc w:val="both"/>
            </w:pPr>
            <w:r w:rsidRPr="0057682D">
              <w:t>3.</w:t>
            </w:r>
          </w:p>
        </w:tc>
        <w:tc>
          <w:tcPr>
            <w:tcW w:w="425" w:type="dxa"/>
          </w:tcPr>
          <w:p w:rsidR="004839B5" w:rsidRPr="0057682D" w:rsidRDefault="004839B5" w:rsidP="00502F35">
            <w:pPr>
              <w:pStyle w:val="GvdeMetni2"/>
              <w:spacing w:after="0" w:line="240" w:lineRule="auto"/>
              <w:ind w:left="-108"/>
              <w:jc w:val="right"/>
            </w:pPr>
            <w:r w:rsidRPr="0057682D">
              <w:t>(1)</w:t>
            </w:r>
          </w:p>
        </w:tc>
        <w:tc>
          <w:tcPr>
            <w:tcW w:w="6946" w:type="dxa"/>
            <w:gridSpan w:val="4"/>
          </w:tcPr>
          <w:p w:rsidR="004839B5" w:rsidRPr="0057682D" w:rsidRDefault="00A04A9C" w:rsidP="00502F35">
            <w:pPr>
              <w:pStyle w:val="GvdeMetni2"/>
              <w:spacing w:after="0" w:line="240" w:lineRule="auto"/>
              <w:jc w:val="both"/>
            </w:pPr>
            <w:r>
              <w:t>Esas Yasa, 74</w:t>
            </w:r>
            <w:r w:rsidR="004839B5" w:rsidRPr="0057682D">
              <w:t>’üncü maddesinin (1)’inci fıkrasının (A) bendi kaldırılmak ve yerine aşağıdaki yeni (A) bendi konmak suretiyle değiştirilir:</w:t>
            </w:r>
          </w:p>
          <w:p w:rsidR="00502F35" w:rsidRPr="0057682D" w:rsidRDefault="00502F35" w:rsidP="00502F35">
            <w:pPr>
              <w:pStyle w:val="GvdeMetni2"/>
              <w:spacing w:after="0" w:line="240" w:lineRule="auto"/>
              <w:jc w:val="both"/>
            </w:pPr>
          </w:p>
        </w:tc>
      </w:tr>
      <w:tr w:rsidR="004839B5" w:rsidRPr="0057682D" w:rsidTr="00685BE3">
        <w:trPr>
          <w:trHeight w:val="1600"/>
        </w:trPr>
        <w:tc>
          <w:tcPr>
            <w:tcW w:w="1668" w:type="dxa"/>
            <w:vMerge/>
          </w:tcPr>
          <w:p w:rsidR="004839B5" w:rsidRPr="0057682D" w:rsidRDefault="004839B5" w:rsidP="00502F35">
            <w:pPr>
              <w:pStyle w:val="GvdeMetni2"/>
              <w:spacing w:after="0" w:line="240" w:lineRule="auto"/>
              <w:jc w:val="both"/>
            </w:pPr>
          </w:p>
        </w:tc>
        <w:tc>
          <w:tcPr>
            <w:tcW w:w="425" w:type="dxa"/>
            <w:vMerge/>
          </w:tcPr>
          <w:p w:rsidR="004839B5" w:rsidRPr="0057682D" w:rsidRDefault="004839B5" w:rsidP="00502F35">
            <w:pPr>
              <w:pStyle w:val="GvdeMetni2"/>
              <w:spacing w:after="0" w:line="240" w:lineRule="auto"/>
              <w:jc w:val="both"/>
            </w:pPr>
          </w:p>
        </w:tc>
        <w:tc>
          <w:tcPr>
            <w:tcW w:w="425" w:type="dxa"/>
          </w:tcPr>
          <w:p w:rsidR="004839B5" w:rsidRPr="0057682D" w:rsidRDefault="004839B5" w:rsidP="00502F35">
            <w:pPr>
              <w:pStyle w:val="GvdeMetni2"/>
              <w:spacing w:after="0" w:line="240" w:lineRule="auto"/>
              <w:jc w:val="both"/>
            </w:pPr>
          </w:p>
        </w:tc>
        <w:tc>
          <w:tcPr>
            <w:tcW w:w="851" w:type="dxa"/>
            <w:gridSpan w:val="2"/>
          </w:tcPr>
          <w:p w:rsidR="004839B5" w:rsidRPr="0057682D" w:rsidRDefault="00685BE3" w:rsidP="00685BE3">
            <w:pPr>
              <w:pStyle w:val="GvdeMetni2"/>
              <w:spacing w:after="0" w:line="240" w:lineRule="auto"/>
              <w:ind w:right="-108"/>
              <w:jc w:val="center"/>
            </w:pPr>
            <w:r>
              <w:t xml:space="preserve">  </w:t>
            </w:r>
            <w:r w:rsidR="000C7E9B" w:rsidRPr="0057682D">
              <w:t>“</w:t>
            </w:r>
            <w:r w:rsidR="004839B5" w:rsidRPr="0057682D">
              <w:t>(A)</w:t>
            </w:r>
          </w:p>
        </w:tc>
        <w:tc>
          <w:tcPr>
            <w:tcW w:w="6095" w:type="dxa"/>
            <w:gridSpan w:val="2"/>
          </w:tcPr>
          <w:p w:rsidR="004839B5" w:rsidRPr="0057682D" w:rsidRDefault="00B11FE9" w:rsidP="00502F35">
            <w:pPr>
              <w:pStyle w:val="GvdeMetni2"/>
              <w:spacing w:after="0" w:line="240" w:lineRule="auto"/>
              <w:jc w:val="both"/>
            </w:pPr>
            <w:r>
              <w:t xml:space="preserve">Kuzey </w:t>
            </w:r>
            <w:r w:rsidR="00882729">
              <w:t>Kıbrıs Türk Cumhuriyeti</w:t>
            </w:r>
            <w:r w:rsidR="004839B5" w:rsidRPr="0057682D">
              <w:t xml:space="preserve"> Merkez Bankası </w:t>
            </w:r>
            <w:r w:rsidR="00A04A9C">
              <w:t>tarafından Resmi Gazete’de yayım</w:t>
            </w:r>
            <w:r w:rsidR="00EA47BF">
              <w:t>lanacak olan Takas Odası i</w:t>
            </w:r>
            <w:r w:rsidR="004839B5" w:rsidRPr="0057682D">
              <w:t xml:space="preserve">şlemleri ve </w:t>
            </w:r>
            <w:r w:rsidR="00EA47BF">
              <w:t>k</w:t>
            </w:r>
            <w:r w:rsidR="004839B5" w:rsidRPr="0057682D">
              <w:t>urallarına ilişkin tebliğ çerçevesinde çek, banka aracılığıyla fiziki olarak veya elektronik ortamda çek hesabının bulunduğu bankaya ibraz edildiğinde, çekin üzerinde yazılı olan tutarın hesapta karşılığının bulunmadığının tespit edilmesi halinde;</w:t>
            </w:r>
          </w:p>
        </w:tc>
      </w:tr>
      <w:tr w:rsidR="00502F35" w:rsidRPr="0057682D" w:rsidTr="00685BE3">
        <w:trPr>
          <w:trHeight w:val="1288"/>
        </w:trPr>
        <w:tc>
          <w:tcPr>
            <w:tcW w:w="1668" w:type="dxa"/>
          </w:tcPr>
          <w:p w:rsidR="00502F35" w:rsidRPr="0057682D" w:rsidRDefault="00502F35" w:rsidP="00502F35">
            <w:pPr>
              <w:pStyle w:val="GvdeMetni2"/>
              <w:spacing w:after="0" w:line="240" w:lineRule="auto"/>
              <w:jc w:val="both"/>
            </w:pPr>
          </w:p>
        </w:tc>
        <w:tc>
          <w:tcPr>
            <w:tcW w:w="425" w:type="dxa"/>
            <w:vMerge/>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jc w:val="both"/>
            </w:pPr>
          </w:p>
        </w:tc>
        <w:tc>
          <w:tcPr>
            <w:tcW w:w="851" w:type="dxa"/>
            <w:gridSpan w:val="2"/>
          </w:tcPr>
          <w:p w:rsidR="00502F35" w:rsidRPr="0057682D" w:rsidRDefault="00502F35" w:rsidP="00502F35">
            <w:pPr>
              <w:pStyle w:val="GvdeMetni2"/>
              <w:spacing w:after="0" w:line="240" w:lineRule="auto"/>
              <w:ind w:hanging="108"/>
              <w:jc w:val="both"/>
            </w:pPr>
          </w:p>
        </w:tc>
        <w:tc>
          <w:tcPr>
            <w:tcW w:w="567" w:type="dxa"/>
          </w:tcPr>
          <w:p w:rsidR="00502F35" w:rsidRPr="0057682D" w:rsidRDefault="00502F35" w:rsidP="00502F35">
            <w:pPr>
              <w:pStyle w:val="GvdeMetni2"/>
              <w:spacing w:after="0" w:line="240" w:lineRule="auto"/>
              <w:ind w:hanging="108"/>
              <w:jc w:val="right"/>
            </w:pPr>
            <w:r w:rsidRPr="0057682D">
              <w:t>(a)</w:t>
            </w:r>
          </w:p>
        </w:tc>
        <w:tc>
          <w:tcPr>
            <w:tcW w:w="5528" w:type="dxa"/>
          </w:tcPr>
          <w:p w:rsidR="00502F35" w:rsidRPr="0057682D" w:rsidRDefault="00502F35" w:rsidP="00502F35">
            <w:pPr>
              <w:pStyle w:val="GvdeMetni2"/>
              <w:spacing w:after="0" w:line="240" w:lineRule="auto"/>
              <w:jc w:val="both"/>
            </w:pPr>
            <w:r w:rsidRPr="0057682D">
              <w:t>Fiziken ibraz edilen çeklerde, çek hesabının bulunduğu banka tarafından “Yetersiz Bakiye</w:t>
            </w:r>
            <w:r w:rsidR="00882729">
              <w:t xml:space="preserve"> </w:t>
            </w:r>
            <w:r w:rsidRPr="0057682D">
              <w:t>-</w:t>
            </w:r>
            <w:r w:rsidR="00882729">
              <w:t xml:space="preserve"> </w:t>
            </w:r>
            <w:r w:rsidR="00082676">
              <w:t>Tekrar İbraz Edilmesi” veya</w:t>
            </w:r>
            <w:r w:rsidRPr="0057682D">
              <w:t xml:space="preserve"> “Karşılıksız Çek</w:t>
            </w:r>
            <w:r w:rsidR="00882729">
              <w:t xml:space="preserve"> </w:t>
            </w:r>
            <w:r w:rsidRPr="0057682D">
              <w:t>-</w:t>
            </w:r>
            <w:r w:rsidR="00882729">
              <w:t xml:space="preserve"> </w:t>
            </w:r>
            <w:r w:rsidRPr="0057682D">
              <w:t>Ödenemez” mührü basılarak, çek ibraz edene iade edilmek üzere, çeki ibraz eden bankaya iade edilir.</w:t>
            </w:r>
          </w:p>
        </w:tc>
      </w:tr>
      <w:tr w:rsidR="00502F35" w:rsidRPr="0057682D" w:rsidTr="00685BE3">
        <w:trPr>
          <w:trHeight w:val="1322"/>
        </w:trPr>
        <w:tc>
          <w:tcPr>
            <w:tcW w:w="1668" w:type="dxa"/>
          </w:tcPr>
          <w:p w:rsidR="00502F35" w:rsidRPr="0057682D" w:rsidRDefault="00502F35" w:rsidP="00502F35">
            <w:pPr>
              <w:pStyle w:val="GvdeMetni2"/>
              <w:spacing w:after="0" w:line="240" w:lineRule="auto"/>
              <w:jc w:val="both"/>
            </w:pPr>
          </w:p>
        </w:tc>
        <w:tc>
          <w:tcPr>
            <w:tcW w:w="425" w:type="dxa"/>
            <w:vMerge/>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jc w:val="both"/>
            </w:pPr>
          </w:p>
        </w:tc>
        <w:tc>
          <w:tcPr>
            <w:tcW w:w="851" w:type="dxa"/>
            <w:gridSpan w:val="2"/>
          </w:tcPr>
          <w:p w:rsidR="00502F35" w:rsidRPr="0057682D" w:rsidRDefault="00502F35" w:rsidP="00502F35">
            <w:pPr>
              <w:pStyle w:val="GvdeMetni2"/>
              <w:spacing w:after="0" w:line="240" w:lineRule="auto"/>
              <w:ind w:hanging="108"/>
              <w:jc w:val="both"/>
            </w:pPr>
          </w:p>
        </w:tc>
        <w:tc>
          <w:tcPr>
            <w:tcW w:w="567" w:type="dxa"/>
          </w:tcPr>
          <w:p w:rsidR="00502F35" w:rsidRPr="0057682D" w:rsidRDefault="00502F35" w:rsidP="00502F35">
            <w:pPr>
              <w:pStyle w:val="GvdeMetni2"/>
              <w:spacing w:after="0" w:line="240" w:lineRule="auto"/>
              <w:ind w:hanging="108"/>
              <w:jc w:val="right"/>
            </w:pPr>
            <w:r w:rsidRPr="0057682D">
              <w:t>(b)</w:t>
            </w:r>
          </w:p>
        </w:tc>
        <w:tc>
          <w:tcPr>
            <w:tcW w:w="5528" w:type="dxa"/>
          </w:tcPr>
          <w:p w:rsidR="00502F35" w:rsidRPr="0057682D" w:rsidRDefault="00502F35" w:rsidP="00502F35">
            <w:pPr>
              <w:pStyle w:val="GvdeMetni2"/>
              <w:spacing w:after="0" w:line="240" w:lineRule="auto"/>
              <w:jc w:val="both"/>
            </w:pPr>
            <w:r w:rsidRPr="0057682D">
              <w:t>Elektronik olarak ibraz edilen çeklerde</w:t>
            </w:r>
            <w:r w:rsidR="00C536B5">
              <w:t>,</w:t>
            </w:r>
            <w:r w:rsidRPr="0057682D">
              <w:t xml:space="preserve"> çek hesabının bulunduğu bankaya elektronik olarak ibraz eden banka tarafından “Yetersiz Bakiye</w:t>
            </w:r>
            <w:r w:rsidR="00882729">
              <w:t xml:space="preserve"> </w:t>
            </w:r>
            <w:r w:rsidRPr="0057682D">
              <w:t>-</w:t>
            </w:r>
            <w:r w:rsidR="00882729">
              <w:t xml:space="preserve"> </w:t>
            </w:r>
            <w:r w:rsidR="00082676">
              <w:t>Tekrar İbraz Edilmesi” veya</w:t>
            </w:r>
            <w:r w:rsidRPr="0057682D">
              <w:t xml:space="preserve"> “Karşılıksız Çek Ödenemez” mührü basılarak</w:t>
            </w:r>
            <w:r w:rsidR="009F291D" w:rsidRPr="0057682D">
              <w:t xml:space="preserve"> çeki ibraz edene iade edilir.”</w:t>
            </w:r>
          </w:p>
        </w:tc>
      </w:tr>
      <w:tr w:rsidR="009F291D" w:rsidRPr="0057682D" w:rsidTr="00685BE3">
        <w:trPr>
          <w:trHeight w:val="222"/>
        </w:trPr>
        <w:tc>
          <w:tcPr>
            <w:tcW w:w="1668" w:type="dxa"/>
          </w:tcPr>
          <w:p w:rsidR="009F291D" w:rsidRPr="0057682D" w:rsidRDefault="009F291D" w:rsidP="00502F35">
            <w:pPr>
              <w:pStyle w:val="GvdeMetni2"/>
              <w:spacing w:after="0" w:line="240" w:lineRule="auto"/>
              <w:jc w:val="both"/>
            </w:pPr>
          </w:p>
        </w:tc>
        <w:tc>
          <w:tcPr>
            <w:tcW w:w="425" w:type="dxa"/>
            <w:vMerge/>
          </w:tcPr>
          <w:p w:rsidR="009F291D" w:rsidRPr="0057682D" w:rsidRDefault="009F291D" w:rsidP="00502F35">
            <w:pPr>
              <w:pStyle w:val="GvdeMetni2"/>
              <w:spacing w:after="0" w:line="240" w:lineRule="auto"/>
              <w:jc w:val="both"/>
            </w:pPr>
          </w:p>
        </w:tc>
        <w:tc>
          <w:tcPr>
            <w:tcW w:w="425" w:type="dxa"/>
          </w:tcPr>
          <w:p w:rsidR="009F291D" w:rsidRPr="0057682D" w:rsidRDefault="009F291D" w:rsidP="00502F35">
            <w:pPr>
              <w:pStyle w:val="GvdeMetni2"/>
              <w:spacing w:after="0" w:line="240" w:lineRule="auto"/>
              <w:jc w:val="both"/>
            </w:pPr>
          </w:p>
        </w:tc>
        <w:tc>
          <w:tcPr>
            <w:tcW w:w="851" w:type="dxa"/>
            <w:gridSpan w:val="2"/>
          </w:tcPr>
          <w:p w:rsidR="009F291D" w:rsidRPr="0057682D" w:rsidRDefault="009F291D" w:rsidP="00502F35">
            <w:pPr>
              <w:pStyle w:val="GvdeMetni2"/>
              <w:spacing w:after="0" w:line="240" w:lineRule="auto"/>
              <w:ind w:hanging="108"/>
              <w:jc w:val="both"/>
            </w:pPr>
          </w:p>
        </w:tc>
        <w:tc>
          <w:tcPr>
            <w:tcW w:w="567" w:type="dxa"/>
          </w:tcPr>
          <w:p w:rsidR="009F291D" w:rsidRPr="0057682D" w:rsidRDefault="009F291D" w:rsidP="00502F35">
            <w:pPr>
              <w:pStyle w:val="GvdeMetni2"/>
              <w:spacing w:after="0" w:line="240" w:lineRule="auto"/>
              <w:ind w:hanging="108"/>
              <w:jc w:val="right"/>
            </w:pPr>
          </w:p>
        </w:tc>
        <w:tc>
          <w:tcPr>
            <w:tcW w:w="5528" w:type="dxa"/>
          </w:tcPr>
          <w:p w:rsidR="009F291D" w:rsidRPr="0057682D" w:rsidRDefault="009F291D" w:rsidP="00502F35">
            <w:pPr>
              <w:pStyle w:val="GvdeMetni2"/>
              <w:spacing w:after="0" w:line="240" w:lineRule="auto"/>
              <w:jc w:val="both"/>
            </w:pPr>
          </w:p>
        </w:tc>
      </w:tr>
      <w:tr w:rsidR="004839B5" w:rsidRPr="0057682D" w:rsidTr="00685BE3">
        <w:trPr>
          <w:trHeight w:val="524"/>
        </w:trPr>
        <w:tc>
          <w:tcPr>
            <w:tcW w:w="1668" w:type="dxa"/>
            <w:vMerge w:val="restart"/>
          </w:tcPr>
          <w:p w:rsidR="004839B5" w:rsidRPr="0057682D" w:rsidRDefault="004839B5" w:rsidP="00502F35">
            <w:pPr>
              <w:pStyle w:val="GvdeMetni2"/>
              <w:spacing w:after="0" w:line="240" w:lineRule="auto"/>
              <w:jc w:val="both"/>
            </w:pPr>
          </w:p>
        </w:tc>
        <w:tc>
          <w:tcPr>
            <w:tcW w:w="425" w:type="dxa"/>
            <w:vMerge/>
          </w:tcPr>
          <w:p w:rsidR="004839B5" w:rsidRPr="0057682D" w:rsidRDefault="004839B5" w:rsidP="00502F35">
            <w:pPr>
              <w:pStyle w:val="GvdeMetni2"/>
              <w:spacing w:after="0" w:line="240" w:lineRule="auto"/>
              <w:jc w:val="both"/>
            </w:pPr>
          </w:p>
        </w:tc>
        <w:tc>
          <w:tcPr>
            <w:tcW w:w="425" w:type="dxa"/>
          </w:tcPr>
          <w:p w:rsidR="004839B5" w:rsidRPr="0057682D" w:rsidRDefault="004839B5" w:rsidP="00502F35">
            <w:pPr>
              <w:pStyle w:val="GvdeMetni2"/>
              <w:spacing w:after="0" w:line="240" w:lineRule="auto"/>
              <w:ind w:left="-108"/>
              <w:jc w:val="right"/>
            </w:pPr>
            <w:r w:rsidRPr="0057682D">
              <w:t>(2)</w:t>
            </w:r>
          </w:p>
        </w:tc>
        <w:tc>
          <w:tcPr>
            <w:tcW w:w="6946" w:type="dxa"/>
            <w:gridSpan w:val="4"/>
          </w:tcPr>
          <w:p w:rsidR="004839B5" w:rsidRPr="0057682D" w:rsidRDefault="004839B5" w:rsidP="00502F35">
            <w:pPr>
              <w:pStyle w:val="GvdeMetni2"/>
              <w:spacing w:after="0" w:line="240" w:lineRule="auto"/>
              <w:jc w:val="both"/>
            </w:pPr>
            <w:r w:rsidRPr="0057682D">
              <w:t>Esas Yasa, 74’üncü maddesinin (4)’üncü fıkrası kaldırılmak ve yerine aşağıdaki yeni (4)’üncü fıkra konmak suretiyle değiştirilir:</w:t>
            </w:r>
          </w:p>
        </w:tc>
      </w:tr>
      <w:tr w:rsidR="009F291D" w:rsidRPr="0057682D" w:rsidTr="00685BE3">
        <w:trPr>
          <w:trHeight w:val="248"/>
        </w:trPr>
        <w:tc>
          <w:tcPr>
            <w:tcW w:w="1668" w:type="dxa"/>
            <w:vMerge/>
          </w:tcPr>
          <w:p w:rsidR="009F291D" w:rsidRPr="0057682D" w:rsidRDefault="009F291D" w:rsidP="00502F35">
            <w:pPr>
              <w:pStyle w:val="GvdeMetni2"/>
              <w:spacing w:after="0" w:line="240" w:lineRule="auto"/>
              <w:jc w:val="both"/>
            </w:pPr>
          </w:p>
        </w:tc>
        <w:tc>
          <w:tcPr>
            <w:tcW w:w="425" w:type="dxa"/>
          </w:tcPr>
          <w:p w:rsidR="009F291D" w:rsidRPr="0057682D" w:rsidRDefault="009F291D" w:rsidP="00502F35">
            <w:pPr>
              <w:pStyle w:val="GvdeMetni2"/>
              <w:spacing w:after="0" w:line="240" w:lineRule="auto"/>
              <w:jc w:val="both"/>
            </w:pPr>
          </w:p>
        </w:tc>
        <w:tc>
          <w:tcPr>
            <w:tcW w:w="425" w:type="dxa"/>
          </w:tcPr>
          <w:p w:rsidR="009F291D" w:rsidRPr="0057682D" w:rsidRDefault="009F291D" w:rsidP="00502F35">
            <w:pPr>
              <w:pStyle w:val="GvdeMetni2"/>
              <w:spacing w:after="0" w:line="240" w:lineRule="auto"/>
              <w:ind w:left="-108"/>
              <w:jc w:val="right"/>
            </w:pPr>
          </w:p>
        </w:tc>
        <w:tc>
          <w:tcPr>
            <w:tcW w:w="6946" w:type="dxa"/>
            <w:gridSpan w:val="4"/>
          </w:tcPr>
          <w:p w:rsidR="009F291D" w:rsidRPr="0057682D" w:rsidRDefault="009F291D" w:rsidP="00502F35">
            <w:pPr>
              <w:pStyle w:val="GvdeMetni2"/>
              <w:spacing w:after="0" w:line="240" w:lineRule="auto"/>
              <w:jc w:val="both"/>
            </w:pPr>
          </w:p>
        </w:tc>
      </w:tr>
      <w:tr w:rsidR="00502F35" w:rsidRPr="0057682D" w:rsidTr="00685BE3">
        <w:trPr>
          <w:trHeight w:val="828"/>
        </w:trPr>
        <w:tc>
          <w:tcPr>
            <w:tcW w:w="1668" w:type="dxa"/>
            <w:vMerge/>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ind w:left="-108"/>
              <w:jc w:val="right"/>
            </w:pPr>
          </w:p>
        </w:tc>
        <w:tc>
          <w:tcPr>
            <w:tcW w:w="709" w:type="dxa"/>
          </w:tcPr>
          <w:p w:rsidR="00502F35" w:rsidRPr="0057682D" w:rsidRDefault="00685BE3" w:rsidP="00685BE3">
            <w:pPr>
              <w:pStyle w:val="GvdeMetni2"/>
              <w:spacing w:after="0" w:line="240" w:lineRule="auto"/>
              <w:ind w:right="-108"/>
              <w:jc w:val="center"/>
            </w:pPr>
            <w:r>
              <w:t xml:space="preserve"> </w:t>
            </w:r>
            <w:r w:rsidR="00502F35" w:rsidRPr="0057682D">
              <w:t>“(4)</w:t>
            </w:r>
          </w:p>
        </w:tc>
        <w:tc>
          <w:tcPr>
            <w:tcW w:w="6237" w:type="dxa"/>
            <w:gridSpan w:val="3"/>
          </w:tcPr>
          <w:p w:rsidR="00502F35" w:rsidRPr="0057682D" w:rsidRDefault="00A04A9C" w:rsidP="00502F35">
            <w:pPr>
              <w:pStyle w:val="GvdeMetni2"/>
              <w:spacing w:after="0" w:line="240" w:lineRule="auto"/>
              <w:jc w:val="both"/>
            </w:pPr>
            <w:r>
              <w:t xml:space="preserve">Çek </w:t>
            </w:r>
            <w:r w:rsidR="00502F35" w:rsidRPr="0057682D">
              <w:t>“Yetersiz Ba</w:t>
            </w:r>
            <w:r w:rsidR="00685BE3">
              <w:t>kiye-Tekrar İbraz Edilmesi” müh</w:t>
            </w:r>
            <w:r w:rsidR="00502F35" w:rsidRPr="0057682D">
              <w:t>rü basıldıktan sonra en erken 15 (on beş) iş günü sonra olmak üzere tekrar ibraz edildiği anda karşılığı yoksa çekin arkasına ibra</w:t>
            </w:r>
            <w:r w:rsidR="009F291D" w:rsidRPr="0057682D">
              <w:t>z tarihi belirtilmesi koşuluyla;</w:t>
            </w:r>
          </w:p>
        </w:tc>
      </w:tr>
      <w:tr w:rsidR="00502F35" w:rsidRPr="0057682D" w:rsidTr="00685BE3">
        <w:trPr>
          <w:trHeight w:val="577"/>
        </w:trPr>
        <w:tc>
          <w:tcPr>
            <w:tcW w:w="1668" w:type="dxa"/>
            <w:vMerge/>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ind w:left="-108"/>
              <w:jc w:val="right"/>
            </w:pPr>
          </w:p>
        </w:tc>
        <w:tc>
          <w:tcPr>
            <w:tcW w:w="709" w:type="dxa"/>
          </w:tcPr>
          <w:p w:rsidR="00502F35" w:rsidRPr="0057682D" w:rsidRDefault="00502F35" w:rsidP="00502F35">
            <w:pPr>
              <w:pStyle w:val="GvdeMetni2"/>
              <w:spacing w:after="0" w:line="240" w:lineRule="auto"/>
              <w:jc w:val="both"/>
            </w:pPr>
          </w:p>
        </w:tc>
        <w:tc>
          <w:tcPr>
            <w:tcW w:w="709" w:type="dxa"/>
            <w:gridSpan w:val="2"/>
          </w:tcPr>
          <w:p w:rsidR="00502F35" w:rsidRPr="0057682D" w:rsidRDefault="00D00C07" w:rsidP="00082676">
            <w:pPr>
              <w:pStyle w:val="GvdeMetni2"/>
              <w:spacing w:after="0" w:line="240" w:lineRule="auto"/>
              <w:ind w:hanging="108"/>
              <w:jc w:val="right"/>
            </w:pPr>
            <w:r>
              <w:t>(A</w:t>
            </w:r>
            <w:r w:rsidR="00502F35" w:rsidRPr="0057682D">
              <w:t>)</w:t>
            </w:r>
          </w:p>
        </w:tc>
        <w:tc>
          <w:tcPr>
            <w:tcW w:w="5528" w:type="dxa"/>
          </w:tcPr>
          <w:p w:rsidR="00502F35" w:rsidRPr="0057682D" w:rsidRDefault="00502F35" w:rsidP="00502F35">
            <w:pPr>
              <w:pStyle w:val="GvdeMetni2"/>
              <w:spacing w:after="0" w:line="240" w:lineRule="auto"/>
              <w:jc w:val="both"/>
            </w:pPr>
            <w:r w:rsidRPr="0057682D">
              <w:t>Fiziken ibraz edilen çeklerde, çek hesabının bulunduğu banka tarafından,</w:t>
            </w:r>
          </w:p>
        </w:tc>
      </w:tr>
      <w:tr w:rsidR="00502F35" w:rsidRPr="0057682D" w:rsidTr="00685BE3">
        <w:trPr>
          <w:trHeight w:val="828"/>
        </w:trPr>
        <w:tc>
          <w:tcPr>
            <w:tcW w:w="1668" w:type="dxa"/>
            <w:vMerge/>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jc w:val="both"/>
            </w:pPr>
          </w:p>
        </w:tc>
        <w:tc>
          <w:tcPr>
            <w:tcW w:w="425" w:type="dxa"/>
          </w:tcPr>
          <w:p w:rsidR="00502F35" w:rsidRPr="0057682D" w:rsidRDefault="00502F35" w:rsidP="00502F35">
            <w:pPr>
              <w:pStyle w:val="GvdeMetni2"/>
              <w:spacing w:after="0" w:line="240" w:lineRule="auto"/>
              <w:ind w:left="-108"/>
              <w:jc w:val="right"/>
            </w:pPr>
          </w:p>
        </w:tc>
        <w:tc>
          <w:tcPr>
            <w:tcW w:w="709" w:type="dxa"/>
          </w:tcPr>
          <w:p w:rsidR="00502F35" w:rsidRPr="0057682D" w:rsidRDefault="00502F35" w:rsidP="00502F35">
            <w:pPr>
              <w:pStyle w:val="GvdeMetni2"/>
              <w:spacing w:after="0" w:line="240" w:lineRule="auto"/>
              <w:jc w:val="both"/>
            </w:pPr>
          </w:p>
        </w:tc>
        <w:tc>
          <w:tcPr>
            <w:tcW w:w="709" w:type="dxa"/>
            <w:gridSpan w:val="2"/>
          </w:tcPr>
          <w:p w:rsidR="00502F35" w:rsidRPr="0057682D" w:rsidRDefault="00D00C07" w:rsidP="00082676">
            <w:pPr>
              <w:pStyle w:val="GvdeMetni2"/>
              <w:spacing w:after="0" w:line="240" w:lineRule="auto"/>
              <w:ind w:hanging="108"/>
              <w:jc w:val="right"/>
            </w:pPr>
            <w:r>
              <w:t>(B</w:t>
            </w:r>
            <w:r w:rsidR="00502F35" w:rsidRPr="0057682D">
              <w:t>)</w:t>
            </w:r>
          </w:p>
        </w:tc>
        <w:tc>
          <w:tcPr>
            <w:tcW w:w="5528" w:type="dxa"/>
          </w:tcPr>
          <w:p w:rsidR="00502F35" w:rsidRPr="0057682D" w:rsidRDefault="00502F35" w:rsidP="00502F35">
            <w:pPr>
              <w:pStyle w:val="GvdeMetni2"/>
              <w:spacing w:after="0" w:line="240" w:lineRule="auto"/>
              <w:jc w:val="both"/>
            </w:pPr>
            <w:r w:rsidRPr="0057682D">
              <w:t>Elektronik olarak ibraz edilen çeklerde</w:t>
            </w:r>
            <w:r w:rsidR="00C536B5">
              <w:t>,</w:t>
            </w:r>
            <w:r w:rsidRPr="0057682D">
              <w:t xml:space="preserve"> çek hesabının bulunduğu bankaya elektronik olarak ibraz eden banka tarafından,</w:t>
            </w:r>
          </w:p>
        </w:tc>
      </w:tr>
      <w:tr w:rsidR="004C172F" w:rsidRPr="0057682D" w:rsidTr="00685BE3">
        <w:trPr>
          <w:trHeight w:val="1600"/>
        </w:trPr>
        <w:tc>
          <w:tcPr>
            <w:tcW w:w="1668" w:type="dxa"/>
            <w:vMerge/>
          </w:tcPr>
          <w:p w:rsidR="004C172F" w:rsidRPr="0057682D" w:rsidRDefault="004C172F" w:rsidP="00502F35">
            <w:pPr>
              <w:pStyle w:val="GvdeMetni2"/>
              <w:spacing w:after="0" w:line="240" w:lineRule="auto"/>
              <w:jc w:val="both"/>
            </w:pPr>
          </w:p>
        </w:tc>
        <w:tc>
          <w:tcPr>
            <w:tcW w:w="425" w:type="dxa"/>
          </w:tcPr>
          <w:p w:rsidR="004C172F" w:rsidRPr="0057682D" w:rsidRDefault="004C172F" w:rsidP="00502F35">
            <w:pPr>
              <w:pStyle w:val="GvdeMetni2"/>
              <w:spacing w:after="0" w:line="240" w:lineRule="auto"/>
              <w:jc w:val="both"/>
            </w:pPr>
          </w:p>
        </w:tc>
        <w:tc>
          <w:tcPr>
            <w:tcW w:w="1134" w:type="dxa"/>
            <w:gridSpan w:val="2"/>
          </w:tcPr>
          <w:p w:rsidR="004C172F" w:rsidRPr="0057682D" w:rsidRDefault="004C172F" w:rsidP="00502F35">
            <w:pPr>
              <w:pStyle w:val="GvdeMetni2"/>
              <w:spacing w:after="0" w:line="240" w:lineRule="auto"/>
              <w:jc w:val="both"/>
            </w:pPr>
          </w:p>
        </w:tc>
        <w:tc>
          <w:tcPr>
            <w:tcW w:w="6237" w:type="dxa"/>
            <w:gridSpan w:val="3"/>
          </w:tcPr>
          <w:p w:rsidR="004C172F" w:rsidRPr="0057682D" w:rsidRDefault="004C172F" w:rsidP="00502F35">
            <w:pPr>
              <w:pStyle w:val="GvdeMetni2"/>
              <w:spacing w:after="0" w:line="240" w:lineRule="auto"/>
              <w:jc w:val="both"/>
            </w:pPr>
            <w:r w:rsidRPr="0057682D">
              <w:t>“Karşılıksız Çek</w:t>
            </w:r>
            <w:r w:rsidR="00882729">
              <w:t xml:space="preserve"> </w:t>
            </w:r>
            <w:r w:rsidRPr="0057682D">
              <w:t>-</w:t>
            </w:r>
            <w:r w:rsidR="00882729">
              <w:t xml:space="preserve"> </w:t>
            </w:r>
            <w:r w:rsidRPr="0057682D">
              <w:t>Ödenemez” mührü basılır ve çekin ait olduğu hesabın sahibi olan gerçek veya tüzel kişi ile tüzel kişi yetkilisi</w:t>
            </w:r>
            <w:r w:rsidR="00082676">
              <w:t>,</w:t>
            </w:r>
            <w:r w:rsidRPr="0057682D">
              <w:t xml:space="preserve"> mühür basıldığı anda herhangi bir ihbara gerek olmaksızın çek yasağına girer. Çek yasağına girenler çek hesabı açma ve çek kullanma hakkını kaybeder ve bu kişilere, bu Yasanın 74B maddesi kuralları uygulanır.</w:t>
            </w:r>
            <w:r w:rsidR="000C7E9B" w:rsidRPr="0057682D">
              <w:t>”</w:t>
            </w:r>
          </w:p>
        </w:tc>
      </w:tr>
      <w:tr w:rsidR="004C172F" w:rsidRPr="0057682D" w:rsidTr="00685BE3">
        <w:trPr>
          <w:trHeight w:val="73"/>
        </w:trPr>
        <w:tc>
          <w:tcPr>
            <w:tcW w:w="1668" w:type="dxa"/>
          </w:tcPr>
          <w:p w:rsidR="004C172F" w:rsidRPr="0057682D" w:rsidRDefault="004C172F" w:rsidP="00502F35">
            <w:pPr>
              <w:pStyle w:val="GvdeMetni2"/>
              <w:spacing w:after="0" w:line="240" w:lineRule="auto"/>
              <w:jc w:val="both"/>
            </w:pPr>
          </w:p>
        </w:tc>
        <w:tc>
          <w:tcPr>
            <w:tcW w:w="425" w:type="dxa"/>
          </w:tcPr>
          <w:p w:rsidR="004C172F" w:rsidRPr="0057682D" w:rsidRDefault="004C172F" w:rsidP="00502F35">
            <w:pPr>
              <w:pStyle w:val="GvdeMetni2"/>
              <w:spacing w:after="0" w:line="240" w:lineRule="auto"/>
              <w:jc w:val="both"/>
            </w:pPr>
          </w:p>
        </w:tc>
        <w:tc>
          <w:tcPr>
            <w:tcW w:w="1134" w:type="dxa"/>
            <w:gridSpan w:val="2"/>
          </w:tcPr>
          <w:p w:rsidR="004C172F" w:rsidRPr="0057682D" w:rsidRDefault="004C172F" w:rsidP="00502F35">
            <w:pPr>
              <w:pStyle w:val="GvdeMetni2"/>
              <w:spacing w:after="0" w:line="240" w:lineRule="auto"/>
              <w:jc w:val="both"/>
            </w:pPr>
          </w:p>
        </w:tc>
        <w:tc>
          <w:tcPr>
            <w:tcW w:w="6237" w:type="dxa"/>
            <w:gridSpan w:val="3"/>
          </w:tcPr>
          <w:p w:rsidR="004C172F" w:rsidRPr="0057682D" w:rsidRDefault="004C172F" w:rsidP="00502F35">
            <w:pPr>
              <w:pStyle w:val="GvdeMetni2"/>
              <w:spacing w:after="0" w:line="240" w:lineRule="auto"/>
              <w:jc w:val="both"/>
            </w:pPr>
          </w:p>
        </w:tc>
      </w:tr>
      <w:tr w:rsidR="00502F35" w:rsidRPr="0057682D" w:rsidTr="00685BE3">
        <w:trPr>
          <w:trHeight w:val="690"/>
        </w:trPr>
        <w:tc>
          <w:tcPr>
            <w:tcW w:w="1668" w:type="dxa"/>
          </w:tcPr>
          <w:p w:rsidR="00502F35" w:rsidRPr="0057682D" w:rsidRDefault="00502F35" w:rsidP="00E83DC0">
            <w:pPr>
              <w:pStyle w:val="GvdeMetni2"/>
              <w:spacing w:after="0" w:line="240" w:lineRule="auto"/>
            </w:pPr>
            <w:r w:rsidRPr="0057682D">
              <w:t>Yürürlüğe Giriş</w:t>
            </w:r>
          </w:p>
        </w:tc>
        <w:tc>
          <w:tcPr>
            <w:tcW w:w="7796" w:type="dxa"/>
            <w:gridSpan w:val="6"/>
          </w:tcPr>
          <w:p w:rsidR="00502F35" w:rsidRPr="0057682D" w:rsidRDefault="00502F35" w:rsidP="00E83DC0">
            <w:pPr>
              <w:pStyle w:val="GvdeMetni2"/>
              <w:spacing w:after="0" w:line="240" w:lineRule="auto"/>
              <w:jc w:val="both"/>
            </w:pPr>
            <w:r w:rsidRPr="0057682D">
              <w:t>4.</w:t>
            </w:r>
            <w:r w:rsidR="00E83DC0">
              <w:t xml:space="preserve"> Bu Yasanın 3’üncü maddesi Resmi</w:t>
            </w:r>
            <w:r w:rsidRPr="0057682D">
              <w:t xml:space="preserve"> Gazete’de yayımlandığı tarihi</w:t>
            </w:r>
            <w:r w:rsidR="00082676">
              <w:t xml:space="preserve"> takip eden ikinci ayın sonunda;</w:t>
            </w:r>
            <w:r w:rsidRPr="0057682D">
              <w:t xml:space="preserve"> </w:t>
            </w:r>
            <w:r w:rsidR="00E83DC0">
              <w:t>diğer maddeleri ise</w:t>
            </w:r>
            <w:r w:rsidR="00D00C07">
              <w:t>,</w:t>
            </w:r>
            <w:r w:rsidR="00E83DC0">
              <w:t xml:space="preserve"> bu Yasanın Resmi</w:t>
            </w:r>
            <w:r w:rsidRPr="0057682D">
              <w:t xml:space="preserve"> Gazete’de yayımlandığı tarihten başlayarak yürürlüğe girer.</w:t>
            </w:r>
          </w:p>
        </w:tc>
      </w:tr>
    </w:tbl>
    <w:p w:rsidR="00B22453" w:rsidRPr="0057682D" w:rsidRDefault="00B22453" w:rsidP="00502F35">
      <w:pPr>
        <w:spacing w:after="0" w:line="240" w:lineRule="auto"/>
        <w:rPr>
          <w:rFonts w:ascii="Times New Roman" w:hAnsi="Times New Roman" w:cs="Times New Roman"/>
          <w:b/>
          <w:sz w:val="24"/>
          <w:szCs w:val="24"/>
        </w:rPr>
      </w:pPr>
    </w:p>
    <w:p w:rsidR="00502F35" w:rsidRPr="0057682D" w:rsidRDefault="00502F35">
      <w:pPr>
        <w:spacing w:after="0" w:line="240" w:lineRule="auto"/>
        <w:rPr>
          <w:rFonts w:ascii="Times New Roman" w:hAnsi="Times New Roman" w:cs="Times New Roman"/>
          <w:b/>
          <w:sz w:val="24"/>
          <w:szCs w:val="24"/>
        </w:rPr>
      </w:pPr>
    </w:p>
    <w:sectPr w:rsidR="00502F35" w:rsidRPr="0057682D" w:rsidSect="009828E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E3" w:rsidRDefault="00685BE3" w:rsidP="009828E4">
      <w:pPr>
        <w:spacing w:after="0" w:line="240" w:lineRule="auto"/>
      </w:pPr>
      <w:r>
        <w:separator/>
      </w:r>
    </w:p>
  </w:endnote>
  <w:endnote w:type="continuationSeparator" w:id="0">
    <w:p w:rsidR="00685BE3" w:rsidRDefault="00685BE3" w:rsidP="0098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2563454"/>
      <w:docPartObj>
        <w:docPartGallery w:val="Page Numbers (Bottom of Page)"/>
        <w:docPartUnique/>
      </w:docPartObj>
    </w:sdtPr>
    <w:sdtEndPr>
      <w:rPr>
        <w:noProof/>
      </w:rPr>
    </w:sdtEndPr>
    <w:sdtContent>
      <w:p w:rsidR="00685BE3" w:rsidRPr="009828E4" w:rsidRDefault="00685BE3">
        <w:pPr>
          <w:pStyle w:val="Altbilgi"/>
          <w:jc w:val="center"/>
          <w:rPr>
            <w:rFonts w:ascii="Times New Roman" w:hAnsi="Times New Roman" w:cs="Times New Roman"/>
          </w:rPr>
        </w:pPr>
        <w:r w:rsidRPr="009828E4">
          <w:rPr>
            <w:rFonts w:ascii="Times New Roman" w:hAnsi="Times New Roman" w:cs="Times New Roman"/>
          </w:rPr>
          <w:fldChar w:fldCharType="begin"/>
        </w:r>
        <w:r w:rsidRPr="009828E4">
          <w:rPr>
            <w:rFonts w:ascii="Times New Roman" w:hAnsi="Times New Roman" w:cs="Times New Roman"/>
          </w:rPr>
          <w:instrText xml:space="preserve"> PAGE   \* MERGEFORMAT </w:instrText>
        </w:r>
        <w:r w:rsidRPr="009828E4">
          <w:rPr>
            <w:rFonts w:ascii="Times New Roman" w:hAnsi="Times New Roman" w:cs="Times New Roman"/>
          </w:rPr>
          <w:fldChar w:fldCharType="separate"/>
        </w:r>
        <w:r w:rsidR="00ED4349">
          <w:rPr>
            <w:rFonts w:ascii="Times New Roman" w:hAnsi="Times New Roman" w:cs="Times New Roman"/>
            <w:noProof/>
          </w:rPr>
          <w:t>2</w:t>
        </w:r>
        <w:r w:rsidRPr="009828E4">
          <w:rPr>
            <w:rFonts w:ascii="Times New Roman" w:hAnsi="Times New Roman" w:cs="Times New Roman"/>
            <w:noProof/>
          </w:rPr>
          <w:fldChar w:fldCharType="end"/>
        </w:r>
      </w:p>
    </w:sdtContent>
  </w:sdt>
  <w:p w:rsidR="00685BE3" w:rsidRDefault="00685B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E3" w:rsidRDefault="00685BE3" w:rsidP="009828E4">
      <w:pPr>
        <w:spacing w:after="0" w:line="240" w:lineRule="auto"/>
      </w:pPr>
      <w:r>
        <w:separator/>
      </w:r>
    </w:p>
  </w:footnote>
  <w:footnote w:type="continuationSeparator" w:id="0">
    <w:p w:rsidR="00685BE3" w:rsidRDefault="00685BE3" w:rsidP="00982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02"/>
    <w:rsid w:val="00010D04"/>
    <w:rsid w:val="00014C80"/>
    <w:rsid w:val="000164E2"/>
    <w:rsid w:val="00030007"/>
    <w:rsid w:val="000326E3"/>
    <w:rsid w:val="00061563"/>
    <w:rsid w:val="00063612"/>
    <w:rsid w:val="00075BD0"/>
    <w:rsid w:val="00082676"/>
    <w:rsid w:val="000871F4"/>
    <w:rsid w:val="0008766B"/>
    <w:rsid w:val="000A0851"/>
    <w:rsid w:val="000A3E52"/>
    <w:rsid w:val="000C7E9B"/>
    <w:rsid w:val="000D3FB1"/>
    <w:rsid w:val="000E052A"/>
    <w:rsid w:val="000E400D"/>
    <w:rsid w:val="000F7B16"/>
    <w:rsid w:val="000F7D52"/>
    <w:rsid w:val="00104F36"/>
    <w:rsid w:val="0011350E"/>
    <w:rsid w:val="00113DA8"/>
    <w:rsid w:val="00114A97"/>
    <w:rsid w:val="00116F9B"/>
    <w:rsid w:val="00140CA5"/>
    <w:rsid w:val="0016536F"/>
    <w:rsid w:val="0017792B"/>
    <w:rsid w:val="001824DF"/>
    <w:rsid w:val="00192994"/>
    <w:rsid w:val="00193724"/>
    <w:rsid w:val="00194602"/>
    <w:rsid w:val="001A2B28"/>
    <w:rsid w:val="001A496C"/>
    <w:rsid w:val="001A55EC"/>
    <w:rsid w:val="001E2382"/>
    <w:rsid w:val="001E5449"/>
    <w:rsid w:val="001E6AB6"/>
    <w:rsid w:val="001F35D5"/>
    <w:rsid w:val="001F3EE7"/>
    <w:rsid w:val="00221DBF"/>
    <w:rsid w:val="00234A59"/>
    <w:rsid w:val="00240009"/>
    <w:rsid w:val="002410A9"/>
    <w:rsid w:val="0024519A"/>
    <w:rsid w:val="002852CB"/>
    <w:rsid w:val="002905A6"/>
    <w:rsid w:val="002A4BE2"/>
    <w:rsid w:val="002B1E7C"/>
    <w:rsid w:val="002E4B65"/>
    <w:rsid w:val="002F33BE"/>
    <w:rsid w:val="002F44A6"/>
    <w:rsid w:val="0030616A"/>
    <w:rsid w:val="00325149"/>
    <w:rsid w:val="00325B05"/>
    <w:rsid w:val="00334B9D"/>
    <w:rsid w:val="00334CAF"/>
    <w:rsid w:val="00342B6C"/>
    <w:rsid w:val="00354930"/>
    <w:rsid w:val="00357EB9"/>
    <w:rsid w:val="003657E8"/>
    <w:rsid w:val="0036650B"/>
    <w:rsid w:val="00372519"/>
    <w:rsid w:val="003739CB"/>
    <w:rsid w:val="003741A0"/>
    <w:rsid w:val="00376376"/>
    <w:rsid w:val="00386950"/>
    <w:rsid w:val="00391F34"/>
    <w:rsid w:val="00392560"/>
    <w:rsid w:val="00396366"/>
    <w:rsid w:val="003A0389"/>
    <w:rsid w:val="003A3B23"/>
    <w:rsid w:val="003A3E1C"/>
    <w:rsid w:val="003A4733"/>
    <w:rsid w:val="003A582C"/>
    <w:rsid w:val="003A6428"/>
    <w:rsid w:val="003A79DC"/>
    <w:rsid w:val="003B58A4"/>
    <w:rsid w:val="003B5C35"/>
    <w:rsid w:val="003C4D57"/>
    <w:rsid w:val="003D2FC1"/>
    <w:rsid w:val="003E51B1"/>
    <w:rsid w:val="003F57B0"/>
    <w:rsid w:val="0040152A"/>
    <w:rsid w:val="0041544E"/>
    <w:rsid w:val="00420716"/>
    <w:rsid w:val="00421801"/>
    <w:rsid w:val="004324D0"/>
    <w:rsid w:val="0045301F"/>
    <w:rsid w:val="00454771"/>
    <w:rsid w:val="00465166"/>
    <w:rsid w:val="004667DB"/>
    <w:rsid w:val="00466F48"/>
    <w:rsid w:val="00473553"/>
    <w:rsid w:val="00477DE8"/>
    <w:rsid w:val="004839B5"/>
    <w:rsid w:val="00483A2A"/>
    <w:rsid w:val="004A0A9B"/>
    <w:rsid w:val="004A3E65"/>
    <w:rsid w:val="004B22EB"/>
    <w:rsid w:val="004B4DF1"/>
    <w:rsid w:val="004C172F"/>
    <w:rsid w:val="004E0E41"/>
    <w:rsid w:val="004E4568"/>
    <w:rsid w:val="004E72F0"/>
    <w:rsid w:val="004F07B0"/>
    <w:rsid w:val="004F0919"/>
    <w:rsid w:val="004F23D3"/>
    <w:rsid w:val="004F3FCA"/>
    <w:rsid w:val="004F5F36"/>
    <w:rsid w:val="00502ECC"/>
    <w:rsid w:val="00502F35"/>
    <w:rsid w:val="00515EC7"/>
    <w:rsid w:val="0051639F"/>
    <w:rsid w:val="00525A1A"/>
    <w:rsid w:val="00525D8B"/>
    <w:rsid w:val="00530F11"/>
    <w:rsid w:val="00535DD1"/>
    <w:rsid w:val="005508EE"/>
    <w:rsid w:val="00560FAA"/>
    <w:rsid w:val="00561C62"/>
    <w:rsid w:val="00565B20"/>
    <w:rsid w:val="0057682D"/>
    <w:rsid w:val="0057745F"/>
    <w:rsid w:val="005933D0"/>
    <w:rsid w:val="00594640"/>
    <w:rsid w:val="005A613B"/>
    <w:rsid w:val="005B0597"/>
    <w:rsid w:val="005B3F1A"/>
    <w:rsid w:val="005C6EA6"/>
    <w:rsid w:val="005D2900"/>
    <w:rsid w:val="005F5A17"/>
    <w:rsid w:val="00601646"/>
    <w:rsid w:val="0063627E"/>
    <w:rsid w:val="0063688F"/>
    <w:rsid w:val="00642B8A"/>
    <w:rsid w:val="006521D6"/>
    <w:rsid w:val="00660492"/>
    <w:rsid w:val="006619AC"/>
    <w:rsid w:val="00664744"/>
    <w:rsid w:val="00685BE3"/>
    <w:rsid w:val="006A2164"/>
    <w:rsid w:val="006C21F7"/>
    <w:rsid w:val="006C331C"/>
    <w:rsid w:val="006C7E52"/>
    <w:rsid w:val="006D0D5E"/>
    <w:rsid w:val="006D2FF0"/>
    <w:rsid w:val="006D5030"/>
    <w:rsid w:val="006E5587"/>
    <w:rsid w:val="006F6C7B"/>
    <w:rsid w:val="006F7508"/>
    <w:rsid w:val="00704E23"/>
    <w:rsid w:val="00706C70"/>
    <w:rsid w:val="007175A7"/>
    <w:rsid w:val="0072446E"/>
    <w:rsid w:val="00735D1F"/>
    <w:rsid w:val="007445CC"/>
    <w:rsid w:val="0077353D"/>
    <w:rsid w:val="00782738"/>
    <w:rsid w:val="00783549"/>
    <w:rsid w:val="007853DF"/>
    <w:rsid w:val="00786681"/>
    <w:rsid w:val="007A2217"/>
    <w:rsid w:val="007B3BCE"/>
    <w:rsid w:val="007B411B"/>
    <w:rsid w:val="007B5306"/>
    <w:rsid w:val="007C223D"/>
    <w:rsid w:val="007D263C"/>
    <w:rsid w:val="007D71DB"/>
    <w:rsid w:val="007D75CE"/>
    <w:rsid w:val="007E65B9"/>
    <w:rsid w:val="007F05D8"/>
    <w:rsid w:val="007F42BD"/>
    <w:rsid w:val="00800387"/>
    <w:rsid w:val="00811590"/>
    <w:rsid w:val="00820536"/>
    <w:rsid w:val="008234FC"/>
    <w:rsid w:val="0082656D"/>
    <w:rsid w:val="008302EF"/>
    <w:rsid w:val="00842551"/>
    <w:rsid w:val="00845071"/>
    <w:rsid w:val="00845D4F"/>
    <w:rsid w:val="00851986"/>
    <w:rsid w:val="00851CDE"/>
    <w:rsid w:val="00855E63"/>
    <w:rsid w:val="00870A1E"/>
    <w:rsid w:val="00871B51"/>
    <w:rsid w:val="00873E56"/>
    <w:rsid w:val="00877D93"/>
    <w:rsid w:val="0088147B"/>
    <w:rsid w:val="00882729"/>
    <w:rsid w:val="008865E9"/>
    <w:rsid w:val="008A1AFB"/>
    <w:rsid w:val="008B1E69"/>
    <w:rsid w:val="008C2A7B"/>
    <w:rsid w:val="008C7E8F"/>
    <w:rsid w:val="008D15B4"/>
    <w:rsid w:val="008E3741"/>
    <w:rsid w:val="008E55AF"/>
    <w:rsid w:val="008E6B5D"/>
    <w:rsid w:val="008F191C"/>
    <w:rsid w:val="00934A89"/>
    <w:rsid w:val="0093747B"/>
    <w:rsid w:val="00942E32"/>
    <w:rsid w:val="00957390"/>
    <w:rsid w:val="0096350C"/>
    <w:rsid w:val="00967FCF"/>
    <w:rsid w:val="00974CD1"/>
    <w:rsid w:val="009828E4"/>
    <w:rsid w:val="00983B81"/>
    <w:rsid w:val="00986C7C"/>
    <w:rsid w:val="00992235"/>
    <w:rsid w:val="0099481D"/>
    <w:rsid w:val="009A19FB"/>
    <w:rsid w:val="009A730A"/>
    <w:rsid w:val="009C06B1"/>
    <w:rsid w:val="009C26DC"/>
    <w:rsid w:val="009C5735"/>
    <w:rsid w:val="009E7AD5"/>
    <w:rsid w:val="009F18EE"/>
    <w:rsid w:val="009F291D"/>
    <w:rsid w:val="00A04A9C"/>
    <w:rsid w:val="00A06BF5"/>
    <w:rsid w:val="00A101BF"/>
    <w:rsid w:val="00A30E20"/>
    <w:rsid w:val="00A326CD"/>
    <w:rsid w:val="00A36460"/>
    <w:rsid w:val="00A50D63"/>
    <w:rsid w:val="00A65CE5"/>
    <w:rsid w:val="00A72C38"/>
    <w:rsid w:val="00A770B2"/>
    <w:rsid w:val="00A77BE1"/>
    <w:rsid w:val="00A84284"/>
    <w:rsid w:val="00A857AC"/>
    <w:rsid w:val="00A917FF"/>
    <w:rsid w:val="00AA5C29"/>
    <w:rsid w:val="00AA6BCD"/>
    <w:rsid w:val="00AB3E74"/>
    <w:rsid w:val="00AB3ED6"/>
    <w:rsid w:val="00AB7C66"/>
    <w:rsid w:val="00AB7DCC"/>
    <w:rsid w:val="00AC3017"/>
    <w:rsid w:val="00AC42DC"/>
    <w:rsid w:val="00AC586B"/>
    <w:rsid w:val="00AC5FC3"/>
    <w:rsid w:val="00AD0364"/>
    <w:rsid w:val="00AE597C"/>
    <w:rsid w:val="00AF2ED7"/>
    <w:rsid w:val="00B019D7"/>
    <w:rsid w:val="00B043F3"/>
    <w:rsid w:val="00B05E19"/>
    <w:rsid w:val="00B070F1"/>
    <w:rsid w:val="00B11FE9"/>
    <w:rsid w:val="00B16FD1"/>
    <w:rsid w:val="00B22453"/>
    <w:rsid w:val="00B431C2"/>
    <w:rsid w:val="00B63514"/>
    <w:rsid w:val="00B73D3D"/>
    <w:rsid w:val="00BA1540"/>
    <w:rsid w:val="00BB47C2"/>
    <w:rsid w:val="00BD5F8A"/>
    <w:rsid w:val="00BD6709"/>
    <w:rsid w:val="00BE5F05"/>
    <w:rsid w:val="00BE7760"/>
    <w:rsid w:val="00BF7218"/>
    <w:rsid w:val="00C06412"/>
    <w:rsid w:val="00C17726"/>
    <w:rsid w:val="00C212C5"/>
    <w:rsid w:val="00C22169"/>
    <w:rsid w:val="00C245DA"/>
    <w:rsid w:val="00C25492"/>
    <w:rsid w:val="00C331DC"/>
    <w:rsid w:val="00C5048B"/>
    <w:rsid w:val="00C536B5"/>
    <w:rsid w:val="00C53F5F"/>
    <w:rsid w:val="00C661A4"/>
    <w:rsid w:val="00C66C80"/>
    <w:rsid w:val="00C74BDB"/>
    <w:rsid w:val="00C82493"/>
    <w:rsid w:val="00C92933"/>
    <w:rsid w:val="00C97C65"/>
    <w:rsid w:val="00CC0914"/>
    <w:rsid w:val="00CC14F0"/>
    <w:rsid w:val="00CD4DB6"/>
    <w:rsid w:val="00CE2503"/>
    <w:rsid w:val="00CF15B8"/>
    <w:rsid w:val="00CF2037"/>
    <w:rsid w:val="00CF58A4"/>
    <w:rsid w:val="00D001DE"/>
    <w:rsid w:val="00D0073E"/>
    <w:rsid w:val="00D007B4"/>
    <w:rsid w:val="00D00C07"/>
    <w:rsid w:val="00D2218F"/>
    <w:rsid w:val="00D24FBD"/>
    <w:rsid w:val="00D261B6"/>
    <w:rsid w:val="00D2625E"/>
    <w:rsid w:val="00D30EBE"/>
    <w:rsid w:val="00D319A6"/>
    <w:rsid w:val="00D450C3"/>
    <w:rsid w:val="00D62202"/>
    <w:rsid w:val="00D74E8D"/>
    <w:rsid w:val="00D80590"/>
    <w:rsid w:val="00D82452"/>
    <w:rsid w:val="00D90FA9"/>
    <w:rsid w:val="00DA2814"/>
    <w:rsid w:val="00DC0501"/>
    <w:rsid w:val="00DD24D7"/>
    <w:rsid w:val="00DD4889"/>
    <w:rsid w:val="00DE5681"/>
    <w:rsid w:val="00DF1150"/>
    <w:rsid w:val="00DF7431"/>
    <w:rsid w:val="00E0233D"/>
    <w:rsid w:val="00E204A8"/>
    <w:rsid w:val="00E2733A"/>
    <w:rsid w:val="00E35192"/>
    <w:rsid w:val="00E57753"/>
    <w:rsid w:val="00E82750"/>
    <w:rsid w:val="00E83DC0"/>
    <w:rsid w:val="00EA47BF"/>
    <w:rsid w:val="00EA7C0C"/>
    <w:rsid w:val="00EB0ABC"/>
    <w:rsid w:val="00EB60F5"/>
    <w:rsid w:val="00EC2DFC"/>
    <w:rsid w:val="00EC6515"/>
    <w:rsid w:val="00ED4349"/>
    <w:rsid w:val="00ED5852"/>
    <w:rsid w:val="00EE34AD"/>
    <w:rsid w:val="00EF1ED8"/>
    <w:rsid w:val="00EF4CED"/>
    <w:rsid w:val="00EF68DF"/>
    <w:rsid w:val="00F079D0"/>
    <w:rsid w:val="00F07C3F"/>
    <w:rsid w:val="00F120EB"/>
    <w:rsid w:val="00F15A02"/>
    <w:rsid w:val="00F20821"/>
    <w:rsid w:val="00F27FB8"/>
    <w:rsid w:val="00F42736"/>
    <w:rsid w:val="00F718FB"/>
    <w:rsid w:val="00F739B7"/>
    <w:rsid w:val="00F91D5D"/>
    <w:rsid w:val="00FA0961"/>
    <w:rsid w:val="00FA3E4D"/>
    <w:rsid w:val="00FA73C0"/>
    <w:rsid w:val="00FC3C41"/>
    <w:rsid w:val="00FC751E"/>
    <w:rsid w:val="00FE0F75"/>
    <w:rsid w:val="00FE4B2D"/>
    <w:rsid w:val="00FE75AB"/>
    <w:rsid w:val="00FF4080"/>
    <w:rsid w:val="00FF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F4080"/>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rsid w:val="00FF4080"/>
    <w:rPr>
      <w:rFonts w:ascii="Times New Roman" w:eastAsia="Times New Roman" w:hAnsi="Times New Roman" w:cs="Times New Roman"/>
      <w:b/>
      <w:bCs/>
      <w:sz w:val="24"/>
      <w:szCs w:val="24"/>
      <w:lang w:eastAsia="en-US"/>
    </w:rPr>
  </w:style>
  <w:style w:type="paragraph" w:styleId="AralkYok">
    <w:name w:val="No Spacing"/>
    <w:uiPriority w:val="1"/>
    <w:qFormat/>
    <w:rsid w:val="00FF4080"/>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EB60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0F5"/>
    <w:rPr>
      <w:rFonts w:ascii="Segoe UI" w:hAnsi="Segoe UI" w:cs="Segoe UI"/>
      <w:sz w:val="18"/>
      <w:szCs w:val="18"/>
    </w:rPr>
  </w:style>
  <w:style w:type="paragraph" w:styleId="GvdeMetni2">
    <w:name w:val="Body Text 2"/>
    <w:basedOn w:val="Normal"/>
    <w:link w:val="GvdeMetni2Char"/>
    <w:uiPriority w:val="99"/>
    <w:rsid w:val="00BB47C2"/>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BB47C2"/>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828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8E4"/>
  </w:style>
  <w:style w:type="paragraph" w:styleId="Altbilgi">
    <w:name w:val="footer"/>
    <w:basedOn w:val="Normal"/>
    <w:link w:val="AltbilgiChar"/>
    <w:uiPriority w:val="99"/>
    <w:unhideWhenUsed/>
    <w:rsid w:val="009828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F4080"/>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rsid w:val="00FF4080"/>
    <w:rPr>
      <w:rFonts w:ascii="Times New Roman" w:eastAsia="Times New Roman" w:hAnsi="Times New Roman" w:cs="Times New Roman"/>
      <w:b/>
      <w:bCs/>
      <w:sz w:val="24"/>
      <w:szCs w:val="24"/>
      <w:lang w:eastAsia="en-US"/>
    </w:rPr>
  </w:style>
  <w:style w:type="paragraph" w:styleId="AralkYok">
    <w:name w:val="No Spacing"/>
    <w:uiPriority w:val="1"/>
    <w:qFormat/>
    <w:rsid w:val="00FF4080"/>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EB60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0F5"/>
    <w:rPr>
      <w:rFonts w:ascii="Segoe UI" w:hAnsi="Segoe UI" w:cs="Segoe UI"/>
      <w:sz w:val="18"/>
      <w:szCs w:val="18"/>
    </w:rPr>
  </w:style>
  <w:style w:type="paragraph" w:styleId="GvdeMetni2">
    <w:name w:val="Body Text 2"/>
    <w:basedOn w:val="Normal"/>
    <w:link w:val="GvdeMetni2Char"/>
    <w:uiPriority w:val="99"/>
    <w:rsid w:val="00BB47C2"/>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BB47C2"/>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828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8E4"/>
  </w:style>
  <w:style w:type="paragraph" w:styleId="Altbilgi">
    <w:name w:val="footer"/>
    <w:basedOn w:val="Normal"/>
    <w:link w:val="AltbilgiChar"/>
    <w:uiPriority w:val="99"/>
    <w:unhideWhenUsed/>
    <w:rsid w:val="009828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5273">
      <w:bodyDiv w:val="1"/>
      <w:marLeft w:val="0"/>
      <w:marRight w:val="0"/>
      <w:marTop w:val="0"/>
      <w:marBottom w:val="0"/>
      <w:divBdr>
        <w:top w:val="none" w:sz="0" w:space="0" w:color="auto"/>
        <w:left w:val="none" w:sz="0" w:space="0" w:color="auto"/>
        <w:bottom w:val="none" w:sz="0" w:space="0" w:color="auto"/>
        <w:right w:val="none" w:sz="0" w:space="0" w:color="auto"/>
      </w:divBdr>
    </w:div>
    <w:div w:id="597950795">
      <w:bodyDiv w:val="1"/>
      <w:marLeft w:val="0"/>
      <w:marRight w:val="0"/>
      <w:marTop w:val="0"/>
      <w:marBottom w:val="0"/>
      <w:divBdr>
        <w:top w:val="none" w:sz="0" w:space="0" w:color="auto"/>
        <w:left w:val="none" w:sz="0" w:space="0" w:color="auto"/>
        <w:bottom w:val="none" w:sz="0" w:space="0" w:color="auto"/>
        <w:right w:val="none" w:sz="0" w:space="0" w:color="auto"/>
      </w:divBdr>
    </w:div>
    <w:div w:id="700280695">
      <w:bodyDiv w:val="1"/>
      <w:marLeft w:val="0"/>
      <w:marRight w:val="0"/>
      <w:marTop w:val="0"/>
      <w:marBottom w:val="0"/>
      <w:divBdr>
        <w:top w:val="none" w:sz="0" w:space="0" w:color="auto"/>
        <w:left w:val="none" w:sz="0" w:space="0" w:color="auto"/>
        <w:bottom w:val="none" w:sz="0" w:space="0" w:color="auto"/>
        <w:right w:val="none" w:sz="0" w:space="0" w:color="auto"/>
      </w:divBdr>
    </w:div>
    <w:div w:id="1670979487">
      <w:bodyDiv w:val="1"/>
      <w:marLeft w:val="0"/>
      <w:marRight w:val="0"/>
      <w:marTop w:val="0"/>
      <w:marBottom w:val="0"/>
      <w:divBdr>
        <w:top w:val="none" w:sz="0" w:space="0" w:color="auto"/>
        <w:left w:val="none" w:sz="0" w:space="0" w:color="auto"/>
        <w:bottom w:val="none" w:sz="0" w:space="0" w:color="auto"/>
        <w:right w:val="none" w:sz="0" w:space="0" w:color="auto"/>
      </w:divBdr>
    </w:div>
    <w:div w:id="16882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8CAC-FE73-4335-AD09-3A340589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NAYIF ÇİÇEKLİ</dc:creator>
  <cp:lastModifiedBy>Necdet Özbay</cp:lastModifiedBy>
  <cp:revision>6</cp:revision>
  <cp:lastPrinted>2024-04-17T05:48:00Z</cp:lastPrinted>
  <dcterms:created xsi:type="dcterms:W3CDTF">2024-04-22T06:30:00Z</dcterms:created>
  <dcterms:modified xsi:type="dcterms:W3CDTF">2024-05-02T07:46:00Z</dcterms:modified>
</cp:coreProperties>
</file>